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sniegt detalizētāku pamatojumu papildus rādītāju iekļaušanai, par kuriem Finansējuma saņēmējam jāuzkrāj informācija Kohēzijas politikas fondu vadības informācijas sistēmā vismaz 2 reizes gadā. LDDK ieskatā tas būs ievērojams papildu slogs projektu īstenotājiem. Šobrīd anotācijā ir norādīts, ka šāda informācija ir jāsniedz, bet nav sniegts detalizēts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Atzinumi_23-TA-3321.docx</dc:title>
</cp:coreProperties>
</file>

<file path=docProps/custom.xml><?xml version="1.0" encoding="utf-8"?>
<Properties xmlns="http://schemas.openxmlformats.org/officeDocument/2006/custom-properties" xmlns:vt="http://schemas.openxmlformats.org/officeDocument/2006/docPropsVTypes"/>
</file>