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līdz 2029. gada 30. novembrim ir sasniedzams nacionālais rādītājs – studējošo īpatsvars, kas ir apmierināti ar augstskolas digitālā satura un digitālo pakalpojumu kvalitāti, - vismaz 60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sniegts skaidrojums, ka  pasākuma ietvaros līdz 2029. gada 30. novembrim ir sasniedzams nacionālais rādītājs  – studējošo īpatsvars, kas ir apmierināti ar augstskolas digitālā satura un digitālo pakalpojumu kvalitāti, – vismaz 60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Izglītības un zinātnes ministrija pirmo šī rādītāja mērījumu veiks 2027. gadā, izmantojot pasākuma otrās kārtas projektā izveidoto vienoto studiju procesa novērtēšanas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minētais nacionālais rādītājs jāsasniedz abām kārtām kopā, izmantojot otrajā kārtā izveidotu novērtēšanas rīku, pēc metodoloģijas, kura vēl tiks izstrādāta. Lūdzam papildināt noteikumu projekta anotāciju ar metodoloģiju jau šobrīd, lai pirmās kārtas finansējuma saņēmējiem, kuri būs atbildīgi par nacionālā rādītāja sasniegšanu, piesakoties uz finansējumu šī pasākuma ietvaros būtu skaidri nosacījumi, kas izpildāmi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noteikumu projektu vai tā anotāciju ar skaidru norādi, ka finansējuma saņēmējiem nebūs negatīvas sekas minētā rādītāja neizpildes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04.12.2024.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04.12.2024.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