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26-TA-357: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Ziņojums par Latvijas ilgtspējīgas attīstības stratēģijas līdz 2030. gadam un Nacionālā attīstības plāna 2021.–2027. gadam īstenošanu un valsts ilgtspējīgu attīstību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projekts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rīcības virziena “Tehnoloģiskā vide un pakalpojumi” secinājumu sadaļu ar šādu tekstu: “Secināms, ka vides un informācijas piekļūstamība joprojām nav pietiekama, lai nodrošinātu vienlīdzīgas iespējas visām sabiedrības grupām. Esošie risinājumi bieži vien neatbilst dažādām vajadzībām, kas ierobežo cilvēku iespējas pilnvērtīgi piedalīties sabiedriskajā dzīvē, saņemt pakalpojumus un piekļūt būtiskai informācijai. Tādēļ ir nepieciešami mērķtiecīgi, sistemātiski un ilgtspējīgi uzlabojumi, lai nodrošinātu iekļaujošu, drošu un visiem pieejamu vidi un informācijas telpu.”. Savukārt priekšlikumu sarakstu papildināt ar šādu: “Lai veicinātu vides un informācijas piekļūstamību, nepieciešams pilnveidot būvniecību regulējošos normatīvos aktus, tādējādi nodrošinot efektīvāku piekļūstamības prasību īstenošanu praksē. Vienlaikus jāturpina izglītojošs un skaidrojošs atbalsts projektēšanas un būvniecības nozares speciālistiem. Ņemot vērā, ka būvniecības regulējums šobrīd neparedz vienu atbildīgo iestādi vides piekļūstamības jomā, nepieciešams veikt pasākumus šādas institucionālās atbildības noteikšanai.”.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Secināms, ka vides un informācijas piekļūstamība joprojām nav pietiekama, lai nodrošinātu vienlīdzīgas iespējas visām sabiedrības grupām. Esošie risinājumi bieži vien neatbilst dažādām vajadzībām, kas ierobežo cilvēku iespējas pilnvērtīgi piedalīties sabiedriskajā dzīvē, saņemt pakalpojumus un piekļūt būtiskai informācijai. Tādēļ ir nepieciešami mērķtiecīgi, sistemātiski un ilgtspējīgi uzlabojumi, lai nodrošinātu iekļaujošu, drošu un visiem pieejamu vidi un informācijas telpu.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veicinātu vides un informācijas piekļūstamību, nepieciešams pilnveidot būvniecību regulējošos normatīvos aktus, tādējādi nodrošinot efektīvāku piekļūstamības prasību īstenošanu praksē. Vienlaikus jāturpina izglītojošs un skaidrojošs atbalsts projektēšanas un būvniecības nozares speciālistiem. Ņemot vērā, ka būvniecības regulējums šobrīd neparedz vienu atbildīgo iestādi vides piekļūstamības jomā, nepieciešams veikt pasākumus šādas institucionālās atbildības noteikšanai.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Aleksandra Kosjaka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projekts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pamatot un precizēt ziņojuma 39.lpp ietvertos priekšlikumus attiecībā uz darba vides uzlabošanu. Izteiktie priekšlikumi ir visai vispārīgi un trūkstošais pamatojums nesniedz informāciju, kas palīdzētu pamatot un arī plānotu kādus konkrētus pasākumus nākotnē. Vienlaikus informējam, ka www.stradavesels.lv ir pieejama virkne dažādu informatīvu materiālu (bukleti, plakāti, semināru video) par darba vides riskiem, arī par psihoemocionālo risku atpazīšanu un prevenciju, kā arī par izdegšanu, stresu, mobingu. Turklāt regulāri tiek organizēti semināri darba devējiem un darba aizsardzības speciālistiem par veselības veicināšanu darbā, kas ietver arī emocionālās veselības un labbūtības jautājumus.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tekstā precizēt ziņojumā izmantoto terminoloģiju atbilstoši Darba aizsardzības likumam (terminu "darba drošība" aizstāt ar "darba aizsardzība").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Aleksandra Kosjaka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projekts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ziņojuma tekstu, sniedzot pamatojumu ziņojuma tekstā minētajam priekšlikumam: "Pastiprināt darba tiesību uzraudzību, samazinot nereģistrētas nodarbinātības gadījumus" (99.lpp).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Pašlaik ziņojumā nav atrodams pamatojums šādam priekšlikumam un nav skaidrs konteksts. Vienlaikus jāatzīmē, ka izteiktais priekšlikums ir mulsinošs arī attiecībā uz jau pašlaik Valsts darba inspekcijas veiktajām darbībām nereģistrētās nodarbinātības mazināšanā.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Aleksandra Kosjaka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projekts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Sadaļā “Rīcības virziens "Darbs un ienākumi"” (90.lpp.), secinājumu sadaļas otrajā rindkopā lūdzam labot tekstu par iedzīvotāju nodarbinātības līmeni Latvijā, kas ir virs ES valstu vidējā rādītāja. 2024. gadā ES vidējais nodarbinātības līmenis bija 75,8%, savukārt Latvijā šis līmenis bija 77,4%, kas ir augstāks par vidējo ES. Piedāvājam izteikt attiecīgu teikumu šādā redakcijā: "Neraugoties uz ieviestajiem pasākumiem, nodarbinātības līmenis ilgstoši stagnē, tomēr saglabājas virs ES vidējā, ko pastiprina sabiedrības novecošanās."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lūdzam arī precizēt tekstu rīcības virziena "Darbs un ienākumi" (84.lpp.) pirmajā rindkopā aiz 13. tabulas.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Neraugoties uz ieviestajiem pasākumiem, nodarbinātības līmenis ilgstoši stagnē, tomēr saglabājas virs ES vidējā, ko pastiprina sabiedrības novecošanās.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Aleksandra Kosjaka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projekts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datus par ilgstošo bezdarbu (Centrālās statistikas pārvaldes datu tabula [NBL290c]), lūdzam papildināt pēdējo rindkopu pirms 27.attēla ar šādu teikumu: “Tomēr ilgstošā bezdarba līmenis Latvijā 2024. un 2025. gadā lēnām pieauga un tas ir augstāks kā ES vidēji, it sevišķi vīriešu vidū.”.</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ilgstošā bezdarba līmenis Latvijā 2024. un 2025. gadā lēnām pieauga un tas ir augstāks kā ES vidēji, it sevišķi vīriešu vidū.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Aleksandra Kosjaka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projekts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Sadaļā “Rīcības virziens "Darbs un ienākumi"” (84.lpp.), pirmajā rindkopā aiz 13. tabulas lūdzam labot tekstu par nodarbinātības līmeni 65-74 gadu vecuma grupā. Pirmkārt, Latvijā ir viens no visaugstākajiem nodarbinātības rādītājiem šajā vecuma grupā. Otrkārt, nodarbinātības pieauguma cēloņi ir dažādi un nevar apgalvot, ka tie ir tikai par finansiālo drošību. Latvijā ir daudz pensijas vecuma cilvēku, kas vēlas turpināt strādāt arī citu iemeslu dēļ, piemēram, būt noderīgiem, būt sociāli aktīviem, kā arī turpināt dalību nodarbinātībā, ja darbs ir interesants, labi apmaksāts un sniedz pozitīvas emocijas.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Latvijā ir viens no augstākajiem nodarbinātības rādītājiem 65-74 iedzīvotāju vecumgrupā ES. Pensijas vecuma iedzīvotāju līdzdalību darba tirgū lielā mērā nosaka nepieciešamība saglabāt finansiālo drošību, kā arī vēlme būt ekonomiski un sociāli aktīviem.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Aleksandra Kosjaka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projekts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Sadaļā par NAP2027 uzdevuma [118] izpildi (50.lpp) lūdzam norādīt, ka bāriņtiesas vai pašvaldības sociālā dienesta darbiniekiem, kuri iesaistīti atbalsta sniegšanā Ukrainas civiliedzīvotājiem, virsstundu darbu vai piemaksu par papildu darbu pilnā apmērā sedza no valsts budžeta līdz 2025. gada 31. decembrim.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minimālās algas pieaugumam regulāri tiek pārskatīta atlīdzība personām, kuras sniedz asistenta un pavadoņa pakalpojumu personām ar invaliditāti, un no 2022. gada 1. marta līdz 2025. gada 31. decembrim bāriņtiesas vai pašvaldības sociālā dienesta darbiniekiem, kuri iesaistīti atbalsta sniegšanā Ukrainas civiliedzīvotājiem, virsstundu darbs vai piemaksa par papildu darbu pilnā apmērā tika segta no valsts budžeta.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Aleksandra Kosjaka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projekts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Sadaļā par NAP2027 uzdevuma [118] izpildi (51.lpp) lūdzam papildināt rindkopu par profesionālās kompetences pilnveides pasākumiem sociālā darba speciālistiem ar informāciju par to, ka rindkopā minētais atbalsts tiek sniegts ESF Plus projekta “Profesionāla un mūsdienīga sociālā darba attīstība”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ESF Plus projekta “Profesionāla un mūsdienīga sociālā darba attīstība” ietvaros</w:t>
            </w:r>
            <w:r w:rsidR="00000000" w:rsidRPr="00000000" w:rsidDel="00000000">
              <w:rPr>
                <w:rtl w:val="0"/>
              </w:rPr>
              <w:t xml:space="preserve"> tiek sniegts atbalsts sociālā darba speciālistu profesionālās kompetences paaugstināšanai, tiek nodrošināta profesionālās kompetences pilnveide, metodiku izstrāde </w:t>
            </w:r>
            <w:r w:rsidR="00000000" w:rsidRPr="00000000" w:rsidDel="00000000">
              <w:rPr>
                <w:u w:val="single"/>
                <w:rtl w:val="0"/>
              </w:rPr>
              <w:t xml:space="preserve">un mācību nodrošināšana</w:t>
            </w:r>
            <w:r w:rsidR="00000000" w:rsidRPr="00000000" w:rsidDel="00000000">
              <w:rPr>
                <w:rtl w:val="0"/>
              </w:rPr>
              <w:t xml:space="preserve"> darbam ar dažādām klientu grupām,  informatīvi izglītojošo pasākumu un sabiedrības izpratnes un informētības veicināšanas pasākumu īstenošana, izvērtējumu veikšana par sociālās jomas speciālistu pašvaldības iestādēs darba efektivitāti, kā arī supervīzijas nodrošināšana.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Aleksandra Kosjaka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projekts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sadaļu par NAP2027 uzdevuma [118] izpildi (51.lpp) ar informāciju par plānošanas periodā veiktajiem grozījumiem Sociālo pakalpojumu un sociālās palīdzības likumā, kas atvieglo prasības sociālā darba speciālistu izglītībai.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2023. gada 31. oktobrī stājās spēkā grozījumi Sociālo pakalpojumu un sociālās palīdzības likuma 42.pantā, kas padarīja elastīgāku sociālā darba speciālistu – sociālo aprūpētāju, sociālo rehabilitētāju un sociālās palīdzības organizatoru, horizontālo mobilitāti darba tirgū, radot iespējas mainīt nodarbinātības veidus, tomēr saglabājot konkrētas kvalifikācijas prasības, lai nodrošinātu klientu labbūtību un speciālistu sniegtie pakalpojumi būtu kvalitatīvi un sekmētu klientu dzīves kvalitātes uzlabošanos. Savukārt 2025. gada 17. decembrī stājās spēkā grozījumi Sociālo pakalpojumu un sociālās palīdzības likuma 41.pantā, kas atvieglo iespējas sociālo darbu veikt arī studējošajiem, tādejādi veicinot normatīvajā aktā noteiktā minimālā sociālā darba speciālistu skaita nodrošināšanu pašvaldībās, kā arī sociālā darba speciālistu piesaisti sociālo pakalpojumu sniegšanā kopumā.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Aleksandra Kosjaka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projekts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1. priekšlikumu 56.lpp. priekšlikumu sadaļā ar nepieciešamību attīstīt sociālo pakalpojumu nodrošināšanā iesaistīto cilvēkresursu profesionālo kompetenci un pieejamību iedzīvotāju vajadzībām atbilstošu un kvalitatīvu pakalpojumu sniegšanai.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Turpināt attīstīt sociālo pakalpojumu pieejamību visos valsts reģionos, ievērojot vienotus kvalitātes standartus, tai skaitā, attīstīt sociālo pakalpojumu nodrošināšanā iesaistīto cilvēkresursu profesionālo kompetenci un pieejamību iedzīvotāju vajadzībām atbilstošu un kvalitatīvu pakalpojumu sniegšanai.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Aleksandra Kosjaka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projekts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projekta tekstu (25. lpp.)  “ES fondu projekta ietvaros paredzēts atbalstīt 4 550 bērnus vecumā līdz 18 gadiem ar smagu slimību, funkcionāliem traucējumiem, iespējamu vai esošu invaliditāti, izveidojot vienotu mehānismu psihosociālā atbalsta sniegšanai, kas ietvers gan atbalsta sniegšanu ārstēšanās periodā, atrodoties bērnu slimnīcas stacionārā, gan pēctecīgu atbalsta sniegšanas turpināšanu, bērnam un ģimenei atgriežoties dzīvesvietā. Paredzēta sadarbības pilnveidošana starp psihosociālā atbalsta sniegšanā iesaistītajiem iestādēm un organizācijām, t.sk., bērnu slimnīcu, pašvaldību sociālajiem dienestiem, ģimenes ārstu praksēm, nevalstiskajām organizācijām, pacientu un vecāku apvienībām, sociālo pakalpojumu sniedzējiem, ja nepieciešams, arī bāriņtiesām un citām tiesībsargājošajām institūcijām.”  aizstāt šādā redakcijā “ES fonda plus projekta ietvaros paredzēts atbalstīt 4 550 bērnus vecumā līdz 18 gadiem (neieskaitot) ar smagu slimību, funkcionāliem traucējumiem, iespējamu vai esošu invaliditāti, izveidojot vienotu mehānismu psihosociālā atbalsta sniegšanai, kas ietvers gan atbalsta sniegšanu ārstēšanās periodā, atrodoties Valsts SIA “Bērnu klīniskā universitātes slimnīcas” (turpmāk - bērnu slimnīca) stacionārā, gan pēctecīgu atbalsta sniegšanas turpināšanu, bērnam un ģimenei atgriežoties dzīvesvietā. Paredzēta sadarbības pilnveidošana starp psihosociālā atbalsta sniegšanā iesaistītajām iestādēm un organizācijām, t.sk., bērnu slimnīcu, pašvaldību sociālajiem dienestiem, ģimenes ārstu praksēm, nevalstiskajām organizācijām, pacientu un vecāku apvienībām, sociālo pakalpojumu sniedzējiem, ja nepieciešams, arī bāriņtiesām un citām tiesībsargājošajām institūcijām.”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Aleksandra Kosjaka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projekts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vai papildus skaidrot ziņojuma projektā ietverto 2. secinājumu (Rīcības virziens "Sociālā iekļaušana")  - "Senioru un personu ar invaliditāti nabadzības risks joprojām ir augsts – nepieciešama mērķētu atbalsta risinājumu kombinācija tieši zemāko pensiju saņēmējiem, īpaši vientuļiem senioriem un senioriem ar invaliditāti, sasaistot to ar mājokļa izmaksu slogu un aprūpes pieejamību".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atbalsts senioriem un personām ar invaliditāti nabadzības un sociālās atstumtības riskā mazināšanai  ir skatāms plašāk, nekā tikai finansiālā atbalsta pārskatīšanā vai sociālās aprūpes pakalpojumu pieejamības veicināšanā. Vienlīdz svarīgi ir pieejami  un savlaicīgi veselības aprūpes pakalpojumi (t.sk., lai mazinātu invaliditātes iestāšanās risku), pieejama un piekļūstama sabiedriska transporta nodrošināšana, u.c. aspekti.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Aleksandra Kosjaka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projekts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nepieciešamību pārskatīt ziņojuma projekta Rīcības virzienā “Sociālā iekļaušana” ietverto 2. priekšlikumu  - “attīstīt atbalstītās nodarbinātības programmas un nostiprināt asistentu un aprūpētāju sistēmu, nodrošinot taisnīgu un ilgtspējīgu atalgojumu”, izvērtējot, vai priekšlikums, kas saistās ar atbalstīto darbu, nav nošķirams no asistenta un aprūpētāja sistēmas.  Atbalstītais darbs ir orientēts uz nodarbinātības veicināšanu cilvēkiem ar invaliditāti atvērtajā darba tirgū, it īpaši cilvēkiem ar garīga rakstura traucējumam, kamēr asistenta un aprūpētāja funkcija ir sniegt atbalstu personām ar dažāda veida funkcionālajiem traucējumiem pārvietošanās vai aprūpes nodrošināšanai.Turklāt ziņojuma projektā nav apskatīta problemātika, kas saistās ar  atbalstītās nodarbinātības programmām Latvijā, tādēļ kontekstuāli šis priekšlikums  nav pamatots un nesniedz skaidrību par priekšlikuma ieviešanas pozitīvo ietekmi uz mērķa grupu.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Aleksandra Kosjaka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projekts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Ziņojumā minēta piemaksas pie vecuma un invaliditātes pensijas atjaunošana, norādot provizorisko personu skaitu 2024., 2025. un 2026.gadā, kuram piešķirtas piemaksas (53.lpp., 89.lpp.). Tā kā ir zināmi faktiskie skaitļi, lūdzam precizēt ziņojuma tekstu.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pārskatīt ziņojuma tekstu un informāciju par 2025.gadu izteikt pagātnes formā (šobrīd ir nākotnes formā - 53.lpp. informācija par pensionāra neapliekamo minimumu).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Piemaksa pie pensijas piešķirtas 2024.gadā 28 tūkst. personām, 2025.gadā - 76 tūkst. personām un 2026.gadā - 123 tūkst.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Aleksandra Kosjaka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projekts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izklāstu par NAP uzdevuma [317] izpildi ar šādu informāciju: LM 2021.gadā veica izvērtējumu ( https://www.lm.gov.lv/lv/analize-par-vides-pieejamibas-pasnovertejumu-valsts-un-pasvaldibu-iestades-31032021 ) par valsts un pašvaldību piekļūstamības pašnovērtējumu, kopumā novērtējot 672 valsts pārvaldes institūciju ēkas un 1516 pašvaldību institūciju ēkas, tai skaitā ēkas, kurās tika veikti ERAF ieguldījumi. Analizējot pašnovērtējumā iegūtos datus tika secināts, ka kopumā personām ar funkcionāliem traucējumiem piekļūstama vide ir tikai 9 % ēku, 26 % ēku tā ir daļēji piekļūstama un 65 % ēku vide nav piekļūstama. Balstoties uz iegūtajiem rezultātiem un izdarītajiem secinājumiem, LM 2023. un 2025.gadā organizēja plašas vides un informācijas piekļūstamības mācības valsts un pašvaldību iestādēs nodarbinātajiem un finansējuma saņēmējiem un sagatavoja ekspertus, kuri sniedz konsultācijas ERAF/KF projektu īstenotājiem par vides un informācijas piekļūstamību. LM plāno 2026. gadā atkārtot pašnovērtējumu, lai novērtētu progresu piekļūstamības jomā, tostarp ņemot vērā gan 2014.–2020. gada, gan 2021.–2027. gada ES fondu plānošanas perioda ERAF un ANM ieguldījumus publiskās infrastruktūras attīstībā.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Apvienoto Nāciju Organizācijas 2006.gada 13.decembra Konvencijas par personu ar invaliditāti tiesībām Latvijai izriet pienākums nodrošināt vides pieejamības prasību ievērošanu. Latvijas Republikas Senāts (Lieta Nr. A420291913, SKA-280/2022) aicināja Ministru kabinetu izvērtēt tiesisko regulējumu, kas paredz vides pieejamības prasību publiski pieejamās būvēs ievērošanas uzraudzību.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LM 2021.gadā veica izvērtējumu ( https://www.lm.gov.lv/lv/analize-par-vides-pieejamibas-pasnovertejumu-valsts-un-pasvaldibu-iestades-31032021 ) par valsts un pašvaldību piekļūstamības pašnovērtējumu, kopumā novērtējot 672 valsts pārvaldes institūciju ēkas un 1516 pašvaldību institūciju ēkas, tai skaitā ēkas, kurās tika veikti ERAF ieguldījumi. Analizējot pašnovērtējumā iegūtos datus tika secināts, ka kopumā personām ar funkcionāliem traucējumiem piekļūstama vide ir tikai 9 % ēku, 26 % ēku tā ir daļēji piekļūstama un 65 % ēku vide nav piekļūstama. Balstoties uz iegūtajiem rezultātiem un izdarītajiem secinājumiem, LM 2023. un 2025.gadā organizēja plašas vides un informācijas piekļūstamības mācības valsts un pašvaldību iestādēs nodarbinātajiem un finansējuma saņēmējiem un sagatavoja ekspertus, kuri sniedz konsultācijas ERAF/KF projektu īstenotājiem par vides un informācijas piekļūstamību. LM plāno 2026. gadā atkārtot pašnovērtējumu, lai novērtētu progresu piekļūstamības jomā, tostarp ņemot vērā gan 2014.–2020. gada, gan 2021.–2027. gada ES fondu plānošanas perioda ERAF un ANM ieguldījumus publiskās infrastruktūras attīstībā.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Apvienoto Nāciju Organizācijas 2006.gada 13.decembra Konvencijas par personu ar invaliditāti tiesībām Latvijai izriet pienākums nodrošināt vides pieejamības prasību ievērošanu. Latvijas Republikas Senāts (Lieta Nr. A420291913, SKA-280/2022) aicināja Ministru kabinetu izvērtēt tiesisko regulējumu, kas paredz vides pieejamības prasību publiski pieejamās būvēs ievērošanas uzraudzību.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Aleksandra Kosjaka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projekts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izklāstu par NAP uzdevuma [87] izpildi ar šādu informāciju: Lai preventīvi novērstu riskus vardarbīgai rīcībai, Labklājības ministrija sadarbībā ar biedrību “Centrs MARTA” organizēja sarunu darbnīcas 15 līdz 19 gadus veciem jauniešiem par cieņpilnām attiecībām “Kā mācēt attiecības?”. Katru gadu, sākot ar 2022. gadu dažādās Latvijas pilsētās norisinājās sarunu darbnīcas, kuru laikā ar neformālo izglītības metožu palīdzību tika veicināta jauniešu izpratne par dzimumu līdztiesību un pilnveidotas jauniešu prasmes par cieņpilnu un līdztiesībā balstītu attiecību veidošanu, kā arī stiprinātas jauniešu prasmes atpazīt dažādus vardarbības veidus savstarpējās attiecībās.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preventīvi novērstu riskus vardarbīgai rīcībai, Labklājības ministrija sadarbībā ar biedrību “Centrs MARTA” organizēja sarunu darbnīcas 15 līdz 19 gadus veciem jauniešiem par cieņpilnām attiecībām “Kā mācēt attiecības?”. Katru gadu, sākot ar 2022. gadu dažādās Latvijas pilsētās norisinājās sarunu darbnīcas, kuru laikā ar neformālo izglītības metožu palīdzību tika veicināta jauniešu izpratne par dzimumu līdztiesību un pilnveidotas jauniešu prasmes par cieņpilnu un līdztiesībā balstītu attiecību veidošanu, kā arī stiprinātas jauniešu prasmes atpazīt dažādus vardarbības veidus savstarpējās attiecībās.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Aleksandra Kosjaka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projekts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Sadaļā “Rīcības virziens "Darbs un ienākumi"” (90.lpp.), priekšlikumu sadaļas otrajā punktā lūdzam papildināt tekstu par fokusu un mērķētu sasniedzamību iedzīvotājiem ar zemāku vai nepietiekamu izglītības līmeni. Piemēram, tie, kas apguvuši profesionālo izglītību 20-30 gadus atpakaļ, šobrīd var vairs neatbilst darba tirgus prasībām un nepārzina jaunākās tehnoloģijas vai pieejas darba uzdevumu veikšanā.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izteikt rindkopu šādā redakcijā: Pārstrukturēt pieaugušo izglītības piedāvājumu, fokusējoties uz mazkvalificētajiem un ekonomiski neaktīvajiem iedzīvotājiem, ieviešot vienotu digitālu pieaugušo mācību platformu, sistemātisku profilēšanu un prasmju novērtēšanu, kā arī mērķētu sasniedzamību iedzīvotājiem ar zemāku vai nepietiekamu izglītības līmeni.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Vēršam uzmanību, ka ir pieejami 2025.gada dati par uzņēmumu skaitu, kas ir ieguvuši sociālā uzņēmuma statusu: 2025.gada beigās kopumā Latvijā darbojās 282 uzņēmumi, kas sniedz sociālus pakalpojumus un veicina nodarbinātību sociāli mazāk aizsargātām grupām. Aicinām izvērtējumā izmantot jaunākos datus.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Sadaļā “Rīcības virziens "Darbs un ienākumi"” (87.lpp.) lūdzam papildināt NAP uzdevuma [223] izpildes aprakstu ar kampaņas piemēru (kampaņa "Esi drošs, ka darbs ir drošs”).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Sadaļā “Rīcības virziens "Darbs un ienākumi"” (85.lpp.), skaidrojot NAP uzdevuma [221] izpildi, lūdzam papildināt esošo tekstu par prognozēšanu ar informāciju, ka turpmāk par prognozēšanu ir atbildīga Ekonomikas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Sadaļā “Rīcības virziens "Darbs un ienākumi"” (85.lpp.) lūdzam papildināt NAP uzdevuma [221] izpildes izklāstu ar informāciju par mācībām tiešsaistes platfomās, kas šobrīd ir vienas no pieprasītākajām mācībām prasmju pilnveidei.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Darbaspēka konkurētspējai un prasmju pilnveidei uzsākta jauna “Nākotnes prasmju iniciatīva”, kas reģistrētajiem bezdarbniekiem un bezdarba riskam pakļautām personām, t.sk. nodarbinātajiem, piedāvā iespēju apgūt atvērto tiešsaistes kursu platformu mācību programmas uzņēmējdarbības, datorzinību, datu zinātnes, informācijas tehnoloģiju jomās, kā arī profesionālās ievirzes svešvalodu apguvei.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Lūdzam papildināt NAP uzdevuma [221] izpildes progresu ar šādu informāciju: 2023. gada beigās tika pieņemts lēmums izveidot Apvienoto pieaugušo izglītības koordinācijas komisiju (APIKK), kas apvieno valsts un nevalstiskās institūcijas, lai saskaņotu un uzraudzītu pieaugušo izglītības politikas īstenošanu valstī un tās galvenais uzdevums ir izskatīt, apstiprināt un aktualizēt mācību jomu piedāvājumu pieaugušajiem. Šī komisija ir daļa no plašākas pieaugušo izglītības un mūžizglītības sistēmas Latvijā, apstiprinot arī NVA organizēto mācību piedāvājumu. 2025. gada 14. aprīlī APIKK saskaņoja NVA sagatavoto pieaugušo izglītības mācību piedāvājumu.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Sadaļā “Rīcības virziens "Darbs un ienākumi"” (85.lpp.), pirms sadaļas “NAP uzdevums [221] paredz aktīvās darba tirgus politikas attīstīšanu”, lūdzam papildināt tekstu ar informāciju par ārzemnieku nodarbināšanas pasākumiem NVA un NVA atbalstu Ukrainas civiliedzīvotājiem.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imigrācijas politika ir veidota ar mērķi aizsargāt vietējo darba tirgu. Darba devējam ir pienākums reģistrēt vakanci Nodarbinātības valsts aģentūrā (turpmāk – NVA), ja vēlas piesaistīt trešo valstu darbinieku. Lai nodrošinātu prioritāti vietējam darbaspēkam, normatīvais regulējums (2024. gada 10. decembrī tika apstiprināti Ministru kabineta noteikumi Nr. 803 “Grozījumi Ministru kabineta 2014. gada 28. janvāra noteikumos Nr. 55 "Noteikumi par ārzemnieku nodarbināšanu") no 2025.gada 1.janvāra nosaka darba devējiem pienākumu ne tikai reģistrēt vakanci NVA, bet arī sadarboties ar NVA un saņemt pozitīvu NVA atzinumu ārzemnieka nodarbināšanai. Sadarbības laikā darba devējam ir jāpamato brīvo darba vietu skaits, jāizvērtē NVA piedāvātie kandidāti un arī jāsniedz pamatojums kandidātu noraidījumam. Ja 10 darbdienu laikā piemērots kandidāts netiek atrasts, NVA sniedz pozitīvu atzinumu ārvalstu darbaspēka piesaistei, un darba devējs Pilsonības un migrācijas lietu pārvaldē var noformēt ielūgumu vai izsaukumu trešās valsts pilsoņa – darbinieka uzaicināšanai.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2025.gadā NVA ir saņēmusi pieprasījumu sniegt 5247 atzinumus (par 38 565 brīvām darba vietām), izsniegusi 4408 pozitīvus atzinumus par ārzemnieku piesaisti (par 32 840  neaizpildītām brīvajām darba vietām), izsniegusi 388 atzinumus ar atteikumu atļaut ārzemnieka piesaisti, un tai pašā laikā darba devēji ir akceptējuši 913 vietējos kandidātus uz pieteiktajām viesstrādnieku vakancēm.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Kopš 2022. gada marta Latvijā tiek īstenoti vairāki pasākumi Ukrainas civiliedzīvotāju nodarbinātības veicināšanai, gan pieņemot dažādus atvieglotos nosacījumus darba devējiem Ukrainas civiliedzīvotāju nodarbināšanā, gan īstenojot praktiskos pasākumus atbalsta sniegšanai, galvenokārt, ar NVA starpniecību.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NVA darbinieki Ukrainas civiliedzīvotājiem nodrošina ar nodarbinātību saistīto informāciju, sniedz konsultācijas, palīdz piemeklēt darba iespējas un sazināties ar darba devēju. 2022. – 2025. gadā Ukrainas civiliedzīvotājiem bija pieejams pabalsts nodarbinātības vai pašnodarbinātības uzsākšanai (turpmāk – Pabalsts) vienas valstī noteiktās minimālās mēneša darba algas apmērā (2022. gadā - 500 euro, 2023. gadā - 620 euro, 2024. gadā - 700 euro, 2025.gadā - 740 euro), ko izmaksāja NVA, un tas netika aplikts ar iedzīvotāju ienākuma nodokli. Pabalsts kopumā tika izmaksāts 19 659 personām. Ņemot vērā bezdarba līmeņa samazināšanos Latvijā un Ukrainas civiliedzīvotāju samērā augsto nodarbinātības līmeni (pēc Centrālās statistikas pārvaldes aplēsēm – 54% 2025. gada sākumā), Pabalsta izmaksa sākot ar 2026.gadu tika pārtraukta. Ukrainas civiliedzīvotājiem, kuri NVA ir reģistrējušies kā bezdarbnieki, ir pieejami tādi paši aktīvie nodarbinātības atbalsta pasākumi kā Latvijas valstspiederīgajiem, tai skaitā, individuālā darba meklēšanas plāna sagatavošana, karjeras konsultācijas, latviešu valodas kursi, profesionālās kvalifikācijas ieguve, apmācība pie darba devēja, subsidētā nodarbinātība, reģionālās mobilitātes atbalsts u.c. Līdz 2026. gada 1. janvārim pavisam NVA ir bijuši reģistrēti 37 372 Ukrainas civiliedzīvotāji (konsultāciju laikā NVA pārrunā kādā profesijā ir strādājis, piedāvā vakances un sagatavo, izdrukā CV latviešu valodā), tostarp, 12 864 personām tika piešķirts bezdarbnieka vai darba meklētāja statuss. NVA piedāvātajos aktīvajos nodarbinātības un preventīvajos bezdarba samazināšanas pasākumos kopumā ir piedalījušies  5 868 Ukrainas civiliedzīvotāji (2022. gadā - 1 188, 2023. gadā - 1 552, 2024. gadā – 1 722, bet 2025.gadā – 1 406 personas), tajā skaitā 1 162 Ukrainas civiliedzīvotāji uzsāka dalību valsts valodas apguves kursos. 2025. gadā visvairāk Ukrainas civiliedzīvotāju ir izmantojuši iespēju saņemt karjeras konsultācijas (635), piedalīties neformālās izglītības ieguvē (375), visbiežāk - latviešu valodas apguvē (329), NVA informatīvās dienās (129), skolēnu vasaras nodarbinātības pasākumā (72), utt.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Sadaļā “Rīcības virziens "Darbs un ienākumi"” (84.lpp.) pirmajā rindkopā aiz 13. tabulas lūdzam papildināt tekstu ar šādu informāciju: Atveseļošanās pēc Covid-19 notiek lēnāk kā ES valstīs vidēji, kur  nodarbinātības līmenis, salīdzinot ar 2018. gadu, ir pieaudzis par 3,9% punktiem, bet Latvijā tas ir pieaudzis tikai par 0,6% punktiem.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Pārstrukturēt pieaugušo izglītības piedāvājumu, fokusējoties uz mazkvalificētajiem un ekonomiski neaktīvajiem iedzīvotājiem, ieviešot vienotu digitālu pieaugušo mācību platformu, sistemātisku profilēšanu un prasmju novērtēšanu, kā arī mērķētu sasniedzamību iedzīvotājiem ar zemāku vai nepietiekamu izglītības līmeni.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Pakāpeniski pieaug arī to uzņēmumus skaits, kas ieguvuši sociālā uzņēmuma statusu – 2025. gada beigās kopumā Latvijā darbojās 282 uzņēmumi, kas sniedz sociālus pakalpojumus un veicina nodarbinātību sociāli mazāk aizsargātām grupām.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Uzdevuma ietvarā tiek īstenoti daudzveidīgi pasākumi darba vides kvalitātes un sociāli atbildīgas uzņēmējdarbības veicināšanai, īstenošanā iesaistot visas ieinteresētās puses un sabiedrību kopumā. Pasākumu kopums ietver informatīvās kampaņas (piemēram, kampaņa “Esi drošs, ka darbs ir drošs”), izglītojošas apmācības un individuālas konsultācijas, kas veicina sabiedrības (īpaši darba devēju un nodarbināto) informētību un izpratnes līmeņa paaugstināšanos par drošu un veselībai nekaitīgu darba vidi, tādējādi samazinot nelaimes gadījumu darbā skaitu un arodslimību izplatību.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2021. gadā noslēdzās  darba tirgus prognožu platformas prognozes.nva.gov.lv izstrāde. Prognožu platforma sniedz iespēju ikvienam interesentam  iespējami ērtā, pieejamā un interaktīvā veidā iepazīties ar sagaidāmo situācijas attīstību darba tirgū. 2025. gadā Cilvēkkapitāla attīstības padomē tika panākta vienošanās, ka turpmāk visus darba tirgus prognozēšanas procesus valstī koordinēs un uzraudzīs Ekonomikas ministrija, tādējādi atbilstoši 2024.gada 18.decembra grozījumiem Bezdarbnieku un darba meklētāju atbalsta likumā Ekonomikas ministrija koordinē darba tirgus prognozēšanas procesu valstī.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2024. gadā tika uzsākta jauna mācību īstenošanas pieeja - ņemot vērā lielo pieprasījumu “Nākotnes prasmju iniciatīvas” ietvaros tieši “Coursera” mācību platformā, NVA noslēdza līgumu ar “Coursera” par apmaksātu mācību licenču izsniegšanu. Vienlaikus NVA turpina nodrošināt mācības arī citās starptautiskās tiešsaistes kursu platformās, tādās kā “Edx”, “Futurelearn”, “Getsmarter”, klientiem sedzot mācību maksu no saviem līdzekļiem un saņemot mācību maksas kompensāciju no NVA pēc programmas apguves.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2023. gada beigās tika pieņemts lēmums izveidot Apvienoto pieaugušo izglītības koordinācijas komisiju (APIKK), kas apvieno valsts un nevalstiskās institūcijas, lai saskaņotu un uzraudzītu pieaugušo izglītības politikas īstenošanu valstī un tās galvenais uzdevums ir izskatīt, apstiprināt un aktualizēt mācību jomu piedāvājumu pieaugušajiem. Šī komisija ir daļa no plašākas pieaugušo izglītības un mūžizglītības sistēmas Latvijā, apstiprinot arī NVA organizēto mācību piedāvājumu. 2025. gada 14. aprīlī APIKK saskaņoja NVA sagatavoto pieaugušo izglītības mācību piedāvājumu.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Latvijas darba imigrācijas politika ir veidota ar mērķi aizsargāt vietējo darba tirgu. Darba devējam ir pienākums reģistrēt vakanci Nodarbinātības valsts aģentūrā (turpmāk – NVA), ja vēlas piesaistīt trešo valstu darbinieku. Lai nodrošinātu prioritāti vietējam darbaspēkam, normatīvais regulējums (2024. gada 10. decembrī tika apstiprināti Ministru kabineta noteikumi Nr. 803 “Grozījumi Ministru kabineta 2014. gada 28. janvāra noteikumos Nr. 55 "Noteikumi par ārzemnieku nodarbināšanu") no 2025.gada 1.janvāra nosaka darba devējiem pienākumu ne tikai reģistrēt vakanci NVA, bet arī sadarboties ar NVA un saņemt pozitīvu NVA atzinumu ārzemnieka nodarbināšanai. Sadarbības laikā darba devējam ir jāpamato brīvo darba vietu skaits, jāizvērtē NVA piedāvātie kandidāti un arī jāsniedz pamatojums kandidātu noraidījumam. Ja 10 darbdienu laikā piemērots kandidāts netiek atrasts, NVA sniedz pozitīvu atzinumu ārvalstu darbaspēka piesaistei, un darba devējs Pilsonības un migrācijas lietu pārvaldē var noformēt ielūgumu vai izsaukumu trešās valsts pilsoņa – darbinieka uzaicināšanai.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2025.gadā NVA ir saņēmusi pieprasījumu sniegt 5247 atzinumus (par 38 565 brīvām darba vietām), izsniegusi 4408 pozitīvus atzinumus par ārzemnieku piesaisti (par 32 840  neaizpildītām brīvajām darba vietām), izsniegusi 388 atzinumus ar atteikumu atļaut ārzemnieka piesaisti, un tai pašā laikā darba devēji ir akceptējuši 913 vietējos kandidātus uz pieteiktajām viesstrādnieku vakancēm.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Kopš 2022. gada marta Latvijā tiek īstenoti vairāki pasākumi Ukrainas civiliedzīvotāju nodarbinātības veicināšanai, gan pieņemot dažādus atvieglotos nosacījumus darba devējiem Ukrainas civiliedzīvotāju nodarbināšanā, gan īstenojot praktiskos pasākumus atbalsta sniegšanai, galvenokārt, ar NVA starpniecību.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NVA darbinieki Ukrainas civiliedzīvotājiem nodrošina ar nodarbinātību saistīto informāciju, sniedz konsultācijas, palīdz piemeklēt darba iespējas un sazināties ar darba devēju. 2022. – 2025. gadā Ukrainas civiliedzīvotājiem bija pieejams pabalsts nodarbinātības vai pašnodarbinātības uzsākšanai (turpmāk – Pabalsts) vienas valstī noteiktās minimālās mēneša darba algas apmērā (2022. gadā - 500 euro, 2023. gadā - 620 euro, 2024. gadā - 700 euro, 2025.gadā - 740 euro), ko izmaksāja NVA, un tas netika aplikts ar iedzīvotāju ienākuma nodokli. Pabalsts kopumā tika izmaksāts 19 659 personām. Ņemot vērā bezdarba līmeņa samazināšanos Latvijā un Ukrainas civiliedzīvotāju samērā augsto nodarbinātības līmeni (pēc Centrālās statistikas pārvaldes aplēsēm – 54% 2025. gada sākumā), Pabalsta izmaksa sākot ar 2026.gadu tika pārtraukta. Ukrainas civiliedzīvotājiem, kuri NVA ir reģistrējušies kā bezdarbnieki, ir pieejami tādi paši aktīvie nodarbinātības atbalsta pasākumi kā Latvijas valstspiederīgajiem, tai skaitā, individuālā darba meklēšanas plāna sagatavošana, karjeras konsultācijas, latviešu valodas kursi, profesionālās kvalifikācijas ieguve, apmācība pie darba devēja, subsidētā nodarbinātība, reģionālās mobilitātes atbalsts u.c.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2026. gada 1. janvārim pavisam NVA ir bijuši reģistrēti 37 372 Ukrainas civiliedzīvotāji (konsultāciju laikā NVA pārrunā kādā profesijā ir strādājis, piedāvā vakances un sagatavo, izdrukā CV latviešu valodā), tostarp, 12 864 personām tika piešķirts bezdarbnieka vai darba meklētāja statuss. NVA piedāvātajos aktīvajos nodarbinātības un preventīvajos bezdarba samazināšanas pasākumos kopumā ir piedalījušies  5 868 Ukrainas civiliedzīvotāji, tajā skaitā 1 162 Ukrainas civiliedzīvotāji uzsāka dalību valsts valodas apguves kursos.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Tomēr jāatzīmē, ka darbspējas vecuma iedzīvotāju nodarbinātības līmenis Latvijā ir virs ES valstu vidējā rādītāja (ES 27 – 75,8%), tomēr pēdējo gadu laikā  tajā nav vērojamas būtiskas izmaiņas. Atveseļošanās pēc Covid-19 notiek lēnāk kā ES valstīs vidēji, kur  nodarbinātības līmenis salīdzinot ar 2018. gadu ir pieaudzis par 3,9% punktiem, bet Latvijā tas ir pieaudzis tikai par 0,6% punktiem.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Aleksandra Kosjaka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26-TA-357</w:t>
    </w:r>
    <w:r>
      <w:br/>
    </w:r>
    <w:r w:rsidR="00000000" w:rsidRPr="00000000" w:rsidDel="00000000">
      <w:rPr>
        <w:rtl w:val="0"/>
      </w:rPr>
      <w:t xml:space="preserve">Izdrukāts 17.02.2026. 09.50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26-TA-357</w:t>
    </w:r>
    <w:r>
      <w:br/>
    </w:r>
    <w:r w:rsidR="00000000" w:rsidRPr="00000000" w:rsidDel="00000000">
      <w:rPr>
        <w:rtl w:val="0"/>
      </w:rPr>
      <w:t xml:space="preserve">Izdrukāts 17.02.2026. 09.50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Atzinumi_26-TA-357.docx</dc:title>
</cp:coreProperties>
</file>

<file path=docProps/custom.xml><?xml version="1.0" encoding="utf-8"?>
<Properties xmlns="http://schemas.openxmlformats.org/officeDocument/2006/custom-properties" xmlns:vt="http://schemas.openxmlformats.org/officeDocument/2006/docPropsVTypes"/>
</file>