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25.4. ievēro horizontālo principu "Vienlīdzība, iekļaušana, nediskriminācija un pamattiesību ievērošana" un uzkrāj datus par projekta ietekmi uz horizontālā principa rādītāju – objektu skaitu, kuros ir nodrošināta vides un informācijas pieejamība;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salāgot HP VINPI  uzraudzības rādītāja redakciju ar kritēriju vērtēšanas metodikā un HP vadlīnijās [1]  noteikto redakciju, kuras šobrīd nesakrīt.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[1] Vadlīnijas horizontālā principa “Vienlīdzība, iekļaušana, nediskriminācija un pamattiesību ievērošana” īstenošanai un uzraudzībai (2021-2027) (pieejamas šeit: https://www.lm.gov.lv/lv/vadlinijas-horizontala-principa-vienlidziba-ieklausana-nediskriminacija-un-pamattiesibu-ieverosana-istenosanai-un-uzraudzibai-2021-2027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Objektu skaits, kuros ERAF/KF ieguldījumu rezultātā ir nodrošināta vides un informācijas pieejamība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Monta Strupause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8.2.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salāgot HP VINPI  uzraudzības rādītāja redakciju ar kritēriju vērtēšanas metodikā un HP vadlīnijās [1]  noteikto redakciju, kuras šobrīd nesakrīt.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[1] Vadlīnijas horizontālā principa “Vienlīdzība, iekļaušana, nediskriminācija un pamattiesību ievērošana” īstenošanai un uzraudzībai (2021-2027) (pieejamas šeit: https://www.lm.gov.lv/lv/vadlinijas-horizontala-principa-vienlidziba-ieklausana-nediskriminacija-un-pamattiesibu-ieverosana-istenosanai-un-uzraudzibai-2021-2027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Objektu skaits, kuros ERAF/KF ieguldījumu rezultātā ir nodrošināta vides un informācijas pieejamība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Monta Strupause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19.03.2024.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19.03.2024.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