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minētie informācijas sniedzēji (valsts un pašvaldību iestādes) noslēdz vienošanos ar CSDD par informācijas ievadīšanu vai nodošanu reģistram.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11. punktu, kas paredz kā obligātu priekšnosacījumu valsts un pašvaldību iestādēm vienošanās slēgšanu informācijas ievadīšanai vai nodošanai reģistram, ņemot vērā, ka vienošanās slēgšana ir administratīvi garš un laikietilpīgs process, izvērtēt iespēju mazināt administratīvo slogu valsts institūcijām un paredzēt informācijas ievadīšanu un datu nodošanu reģistram, bez papildus vienošanās nepieciešamības.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Reģistrs tiešsaistes režīmā nodod datus citām informācijas sistēmām tādā apjomā, kāds nepieciešams konkrētās informācijas sistēmas darbības nodrošināšanai, pamatojoties uz normatīvajiem aktiem un rakstisku vienošanos ar konkrētās informācijas sistēmas pārzini.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punktu ņemot vērā, ka dati no reģistra nepieciešami nevis informācijas sistēmas darbības nodrošināšanai, bet gan iestādes vai funkciju, uzdevumu vai pienākumu veikšanai. Kā arī lūdzam svītrot  vai pamatot nepieciešamību punktā iekļaut kā obligātu priekšnosacījumu datu apritei rakstisku vienošanos.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paredzot datu izplatīšanai no reģistra valsts un pašvaldību institūcijām izmantot Datu pārvaldības un izplatīšanas platformu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CSDD nodrošina reģistra informācijas izsniegšanu atbilstoši attiecīgam informācijas apjomam (datu kopām), kāds nepieciešamas informācijas saņēmējam. Reģistrā pamatā izšķir šādas informācijas sadaļas: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punktā precīzi norādīt un skaidrot vai minētais punkts attiecināms arī uz valsts un pašvaldību institūcijām, kā datu (informācijas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Ierobežotas pieejamības informāciju izsniedz tikai šo noteikumu </w:t>
            </w:r>
            <w:r w:rsidR="00000000" w:rsidRPr="00000000" w:rsidDel="00000000">
              <w:rPr>
                <w:rtl w:val="0"/>
              </w:rPr>
              <w:t xml:space="preserve">18.1.</w:t>
            </w:r>
            <w:r w:rsidR="00000000" w:rsidRPr="00000000" w:rsidDel="00000000">
              <w:rPr>
                <w:rtl w:val="0"/>
              </w:rPr>
              <w:t xml:space="preserve">, </w:t>
            </w:r>
            <w:r w:rsidR="00000000" w:rsidRPr="00000000" w:rsidDel="00000000">
              <w:rPr>
                <w:rtl w:val="0"/>
              </w:rPr>
              <w:t xml:space="preserve">18.2.</w:t>
            </w:r>
            <w:r w:rsidR="00000000" w:rsidRPr="00000000" w:rsidDel="00000000">
              <w:rPr>
                <w:rtl w:val="0"/>
              </w:rPr>
              <w:t xml:space="preserve"> un </w:t>
            </w:r>
            <w:r w:rsidR="00000000" w:rsidRPr="00000000" w:rsidDel="00000000">
              <w:rPr>
                <w:rtl w:val="0"/>
              </w:rPr>
              <w:t xml:space="preserve">18.5. </w:t>
            </w:r>
            <w:r w:rsidR="00000000" w:rsidRPr="00000000" w:rsidDel="00000000">
              <w:rPr>
                <w:rtl w:val="0"/>
              </w:rPr>
              <w:t xml:space="preserve">apakšpunktā</w:t>
            </w:r>
            <w:r w:rsidR="00000000" w:rsidRPr="00000000" w:rsidDel="00000000">
              <w:rPr>
                <w:rtl w:val="0"/>
              </w:rPr>
              <w:t xml:space="preserve"> noteiktajā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CSDD nodrošināt vispārpieejamās informācijas no reģistra nodošanu atklātībai atvērto datu portālā. Lūdzam papildināt anotāciju, ar informāciju, kādas datu kopas tiks publicētas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20.11.2024. 21.55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20.11.2024. 21.55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