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iepriekšējos atzinumos izteikto priekšlikumu: Ņemot vērā, ka Publiskas personas kapitāla daļu un kapitālsabiedrību pārvaldības likumā nav regulējuma valsts kapitāla daļu pārvaldībai, kad vienai kapitālsabiedrībai ir vairāki valsts kapitāla daļu/akciju turētāji, savukārt akcionāru līgumā ir jāparedz kārtību, kas ir atbilstoša spēkā esošajām normatīvajām prasībām, tostarp Ostu likuma, Komerclikuma un Publiskas personas kapitāla daļu un kapitālsabiedrību pārvaldības likuma prasībām, kā arī Satiksmes ministrijas izstrādātais un TAP virzītais instrukcijas projekts "Instrukcija par valsts kapitāla daļu turētāju sadarbību Rīgas ostas un Ventspils ostas pārvalžu valsts kapitāla daļu pārvaldīšanā" (22-TA-2306) ir zemāka spēka attiecībā pret likumu, lūdzam augstāka spēka normatīvajā aktā - speciālajā regulējumā, proti, Ostu likumā noteikt kapitālsabiedrību – AS “Rīgas osta” un AS “Ventspils osta” pārvaldības kārtību un attiecīgi papildināt likumprojektu "Grozījumi Ostu likumā", nosakot speciālu regulējumu attiecībā uz AS “Rīgas osta” un AS “Ventspils osta” organizatoriskā struktūru un minēto kapitālsabiedrību pārvaldību (tostarp valsts akciju turētāju pārstāvju dalību akcionāru sapulcēs, sagatavošanas akcionāru sapulcei, valsts akciju turētāju pārstāvju sēdes (saskaņošanas sanāksmes) organizēšanu, vienotā balsošanas uzdevuma sagatavošanu utml.) atbilstoši labas korporatīvās pārvaldības principiem. Vēršam uzmanību, ka Ostu likumā minētais akcionāru līgums nosaka tikai valsts un pašvaldības tiesības un pienākumus saistībā ar kapitālsabiedrības pārvaldību, bet nenosaka pārvaldības kārtību starp valsts kapitāla daļu turētājiem (FM, SM, EM un VARAM), savukārt deleģējums MK instrukcijas izstrādei nav paredzēts Ostu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04.08.2023. 08.29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04.08.2023. 08.29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