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ir tiesīgs izveidot pasūtījumu, ja darījuma summa bez pievienotās vērtības nodokļa atsevišķi vienam darījumam vai kopā vairākiem darījumiem gada laikā ir mazāka par 140 000 </w:t>
            </w:r>
            <w:r w:rsidR="00000000" w:rsidRPr="00000000" w:rsidDel="00000000">
              <w:rPr>
                <w:i w:val="1"/>
                <w:rtl w:val="0"/>
              </w:rPr>
              <w:t xml:space="preserve">euro</w:t>
            </w:r>
            <w:r w:rsidR="00000000" w:rsidRPr="00000000" w:rsidDel="00000000">
              <w:rPr>
                <w:rtl w:val="0"/>
              </w:rPr>
              <w:t xml:space="preserve">. Uzraudzību par noteiktā limita ievērošanu veic centralizēto iepirkumu institūcija, kura noslēgusi vispārīgo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kādi darījumi viena kalendārā gada ietvaros ir summējami. Proti, vai ir jāsummē visi plānotie darījumi, kas tiek veikti Elektroniskās iepirkumu sistēmas E-katalogos attiecībā uz vienu pasūtītāja uzturēto vai pārziņā esošo informācijas tehnoloģiju sistēmu, vai arī ir summējami visi pasūtītāja plānotie darījumi par visām tā uzturētajām vai pārziņā esošajām informācijas tehnoloģiju sistēmām kopā.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Kaļupniece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14.07.2026.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14.07.2026.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