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25-TA-1190: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10. oktobra noteikumos Nr. 580 "Valsts un Eiropas Savienības atbalsta piešķiršanas kārtība Eiropas Lauksaimniecības fonda lauku attīstībai intervencē "Darbību īstenošana saskaņā ar sabiedrības virzītas vietējās attīstības stratēģiju, tostarp sadarbības aktivitātes un to sagatavošana""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25-TA-1190</w:t>
    </w:r>
    <w:r>
      <w:br/>
    </w:r>
    <w:r w:rsidR="00000000" w:rsidRPr="00000000" w:rsidDel="00000000">
      <w:rPr>
        <w:rtl w:val="0"/>
      </w:rPr>
      <w:t xml:space="preserve">Izdrukāts 17.09.2025. 19.28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25-TA-1190</w:t>
    </w:r>
    <w:r>
      <w:br/>
    </w:r>
    <w:r w:rsidR="00000000" w:rsidRPr="00000000" w:rsidDel="00000000">
      <w:rPr>
        <w:rtl w:val="0"/>
      </w:rPr>
      <w:t xml:space="preserve">Izdrukāts 17.09.2025. 19.28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Atzinumi_25-TA-1190.docx</dc:title>
</cp:coreProperties>
</file>

<file path=docProps/custom.xml><?xml version="1.0" encoding="utf-8"?>
<Properties xmlns="http://schemas.openxmlformats.org/officeDocument/2006/custom-properties" xmlns:vt="http://schemas.openxmlformats.org/officeDocument/2006/docPropsVTypes"/>
</file>