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29. oktobra noteikumos Nr. 1191 "Kārtība, kādā publiska persona nomā nekustamo īpašumu no privātpersonas vai kapitālsabiedrības un publicē informāciju par nomātajiem un nomāt paredzētajiem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15.08.2025. 22.06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15.08.2025. 22.06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Atzinumi_25-TA-1065.docx</dc:title>
</cp:coreProperties>
</file>

<file path=docProps/custom.xml><?xml version="1.0" encoding="utf-8"?>
<Properties xmlns="http://schemas.openxmlformats.org/officeDocument/2006/custom-properties" xmlns:vt="http://schemas.openxmlformats.org/officeDocument/2006/docPropsVTypes"/>
</file>