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1.17. apakšpunkts, kas papildina noteikumus ar 27.</w:t>
            </w:r>
            <w:r w:rsidR="00000000" w:rsidRPr="00000000" w:rsidDel="00000000">
              <w:rPr>
                <w:vertAlign w:val="superscript"/>
                <w:rtl w:val="0"/>
              </w:rPr>
              <w:t xml:space="preserve">3</w:t>
            </w:r>
            <w:r w:rsidR="00000000" w:rsidRPr="00000000" w:rsidDel="00000000">
              <w:rPr>
                <w:rtl w:val="0"/>
              </w:rPr>
              <w:t xml:space="preserve"> punktu, nosaka jaunu regulējumu, kādā ģimenes ārsti var izmantot veselības informācijas sistēmā uzkrātos datus bērnu attīstības risku agrīnai identificēšanai. Ņemot vērā, ka atbilstoši anotācijā norādītajam minētais regulējums izriet no izstrādātajiem grozījumiem Bērnu tiesību aizsardzības likumā un Pacientu tiesību likumā, kas vēl nav pieņemti Saeimā, svītrojams noteikumu projekta 1.17. apakšpunkts vai arī noteikumu projekts virzāms izskatīšanai Ministru kabinetā pēc tam, kad būs pieņemti grozījumi Bērnu tiesību aizsardzības likumā un Pacientu tiesību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BAASIK (Bērnu agrīnās attīstības skrīninga instrumentu komplekts) attīstība, digitalizācija un plašāka ieviešana tiek īstenota Eiropas Savienības kohēzijas politikas programmas 2021.–2027. gadam 4.3.6.7. pasākuma "Starpnozaru sadarbības un atbalsta sistēmas izveide bērnu veselīgai attīstībai un sekmīgai pašrealizācijai" ietvaros, lai nodrošinātu finansējuma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12.08.2026.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12.08.2026.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Atzinumi_26-TA-1450.docx</dc:title>
</cp:coreProperties>
</file>

<file path=docProps/custom.xml><?xml version="1.0" encoding="utf-8"?>
<Properties xmlns="http://schemas.openxmlformats.org/officeDocument/2006/custom-properties" xmlns:vt="http://schemas.openxmlformats.org/officeDocument/2006/docPropsVTypes"/>
</file>