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w:t>
            </w:r>
            <w:r w:rsidR="00000000" w:rsidRPr="00000000" w:rsidDel="00000000">
              <w:rPr>
                <w:vertAlign w:val="superscript"/>
                <w:rtl w:val="0"/>
              </w:rPr>
              <w:t xml:space="preserve">1</w:t>
            </w:r>
            <w:r w:rsidR="00000000" w:rsidRPr="00000000" w:rsidDel="00000000">
              <w:rPr>
                <w:rtl w:val="0"/>
              </w:rPr>
              <w:t xml:space="preserve"> šo noteikumu 30.4. apakšpunktā norādītās izmaksas (projekta netiešās attiecināmās izmaksas) plāno kā vienu izmaksu pozīciju, piemērojot netiešo izmaksu vienoto likmi septiņu procentu apmērā no šo noteikumu 30.1., 30.2., 30.3., 30.5., 30.6., 30.7., 30.8., 30.9. un 30.10. apakšpunktā minētajām tiešajām attiecināmajām izmaksām saskaņā ar Eiropas Parlamenta un Padomes 2021. gada 14.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54. panta pirmās daļas "a"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 gada 8. augusta noteikumos Nr.443 "Eiropas Savienības Atveseļošanas un noturības mehānisma plāna 1.2. reformu un investīciju virziena "Energoefektivitātes uzlabošana" 1.2.1.4.i. investīcijas "Energoefektivitātes uzlabošana valsts sektora ēkās, t. sk. vēsturiskajās ēkās" īstenošanas noteikumi" paredzēto pieeju par pasākuma īstenošanu secīgi kārtās, t.sk. pieļaujot iespēju, ka projekta ietvaros tiek izstrādāta tikai projekta tehniskā dokumentācija, aicinām līdz noteikumu projekta virzībai apstiprināšanai vēlreiz kopīgi izvērtēt optimālāko projekta vadības izmaksu aprēķina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 (Irma Bondare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17.09.2024. 19.02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17.09.2024. 19.02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Atzinumi_24-TA-831.docx</dc:title>
</cp:coreProperties>
</file>

<file path=docProps/custom.xml><?xml version="1.0" encoding="utf-8"?>
<Properties xmlns="http://schemas.openxmlformats.org/officeDocument/2006/custom-properties" xmlns:vt="http://schemas.openxmlformats.org/officeDocument/2006/docPropsVTypes"/>
</file>