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Ārstniecības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Ārstniecības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Tirdzniecības un rūpniecības kamera (turpmāk – LTRK), atkārtoti iepazīstoties ar Veselības ministrijas izstrādāto likumprojektu “Grozījumi Ārstniecības likumā” (25-TA-453) uztur sākotnēji paustos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LTRK atzinīgi vērtē, ka Veselības ministrija ir ņēmusi vērā aicinājumu likumprojekta 3. pantā likuma 10.3. panta redakcijā iekļaut deleģējumu Ministru kabinetam noteikt līgumsoda piemērošanas gadījumus un apmēru. Vienlaikus LTRK iebildums par pārmērīgi plašu NVD rīcības brīvību ir novērsts tikai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Nav pieļaujams ar likuma grozījumiem retrospektīvi radīt tiesisku pamatu līgumsodu piemērošanai situācijās, kurās šāds tiesiskais pamats iepriekš nav bijis pietiekami skaidri noteikts ārējos normatīvajos aktos. Tiesiskās paļāvības, tiesiskās drošības un labas likumdošanas principi prasa, lai personas jau iepriekš zinātu, kādos gadījumos un kādā apmērā tām var tikt piemērotas nelabvēlīgas tiesiskās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LTKR norāda, ka būtu skaidri jāparedz, ka jaunais regulējums ir piemērojams tikai uz nākotni un nevar kalpot par pamatu iepriekš noslēgto līgumu vai iepriekš piemēroto līgumsodu tiesiskuma pamatošanai.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LTRK ieskatā būtu vērtējams arī līgumsodu samērīguma jautājums. Līgumsoda apmēram nevajadzētu pārsniegt 10% no attiecīgās nepamatoti saņemtās vai izmaksātās summas. Primārajam mērķim būtu jābūt nepamatoti izmaksāto valsts līdzekļu atgūšanai, nevis nesamērīgu sankciju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Īpaši jāņem vērā, ka praksē daļa strīdu rodas nevis pakalpojumu sniedzēju rīcības dēļ, bet e-veselības, NVD un citu valsts informācijas sistēmu nepilnību, kļūdu vai interpretācijas neskaidrību rezultātā. Tamdēļ šādos gadījumos un esošajā valsts izveidotajā sistēmā šādu nesamērīgu līgumsodu piemērošana neatbilst taisnīguma un samērīguma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Žaunerčika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11.06.2026. 07.28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11.06.2026. 07.28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Atzinumi_25-TA-453.docx</dc:title>
</cp:coreProperties>
</file>

<file path=docProps/custom.xml><?xml version="1.0" encoding="utf-8"?>
<Properties xmlns="http://schemas.openxmlformats.org/officeDocument/2006/custom-properties" xmlns:vt="http://schemas.openxmlformats.org/officeDocument/2006/docPropsVTypes"/>
</file>