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24-TA-2284: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septembra noteikumos Nr. 529 "Eiropas Savienības Atveseļošanas un noturības mehānisma plāna 2. komponentes "Digitālā transformācija" 2.3. reformu un investīciju virziena "Digitālās prasmes" 2.3.1.2.i. investīcijas "Uzņēmumu digitālo prasmju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anotācijas 1.3.sadaļā esošo pirmspēdējo rindkopu: “ </w:t>
            </w:r>
            <w:r w:rsidR="00000000" w:rsidRPr="00000000" w:rsidDel="00000000">
              <w:rPr>
                <w:i w:val="1"/>
                <w:rtl w:val="0"/>
              </w:rPr>
              <w:t xml:space="preserve">[MS1]Iebildums</w:t>
            </w:r>
            <w:r w:rsidR="00000000" w:rsidRPr="00000000" w:rsidDel="00000000">
              <w:rPr>
                <w:i w:val="1"/>
                <w:rtl w:val="0"/>
              </w:rPr>
              <w:t xml:space="preserve">Vēršam uzmanību, ka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80.11. apakšpunktā ietvertais regulējums dublē un vienlaikus ir pretrunā ar 80.12. apakšpunktā noteikto. Turklāt no Eiropas Komisijas 2014. gada 17. jūnija Regulas (ES) Nr. 651/2014, ar ko noteiktas atbalsta kategorijas atzīst par saderīgām ar iekšējo tirgu, piemērojot Līguma 107. un 108. pantu, 13. panta "a", "b", "c" un "d" apakšpunkta pirmšķietami neizriet izņēmums attiecībā uz finanšu tehnoloģiju uzņēmumiem, tādēļ lūdzam noteikumu projekta anotācijā arī skaidrot pamatojumu minētā izņēmumu noteikšanai no minētās regulas vai svītrot šo izņēmumu</w:t>
            </w:r>
            <w:r w:rsidR="00000000" w:rsidRPr="00000000" w:rsidDel="00000000">
              <w:rPr>
                <w:rtl w:val="0"/>
              </w:rPr>
              <w:t xml:space="preserve">.”, jo tā satur iepriekš Finanšu ministrijas izteiktā iebilduma tekstu, kas ietverts izziņas 13.punktā.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redakcionāli precizēt Ministru kabineta 2023. gada 12. septembra noteikumu Nr. 529 "Eiropas Savienības Atveseļošanas un noturības mehānisma plāna 2. komponentes "Digitālā transformācija" 2.3. reformu un investīciju virziena "Digitālās prasmes" 2.3.1.2.i. investīcijas "Uzņēmumu digitālo prasmju attīstība" īstenošanas noteikumi" (turpmāk – MK noteikumi) 80.1.apakšpunktā iekļauto atsauci par neatbalstāmajām darbībām, aizstājot tajā esošo Komisijas regulas numuru “2923/2831” ar numuru “2023/2831”.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precizēt anotācijas 3.sadaļu, izmaiņu ailēs atspoguļojot finansējuma samazinājumu, 6.punktā norādot tam pamatojumu, savukārt punktā “Cita informācija” sniedzot informāciju par attiecīgā finansējuma pārdali citai investīcijai. Vienlaikus punktā “Cita informācija” nepieciešams norādīt Ekonomikas ministrijas budžeta programmu, kurā ir ieplānots finansējums 2.3.1.2.i. investīcijas "Uzņēmumu digitālo prasmju attīstība" īstenošanai anotācijas 2. un 4.ailē norādītajā 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Investīcijas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MK noteikumu 9.punktā ietverto apakšpunktu redakcijas un numerāciju, jo: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Izziņas 28. punktā minēts, ka 9.2.apakšpunkts atstāts šobrīd spēkā esošajā (sākotnējā) redakcijā, tomēr saskaņā ar MK noteikumu grozīto redakciju, tas tiek svītrots;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Norādām, ka grozītajā MK noteikumu redakcijā pašlaik ir divi 9.3.apakšpunkti.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Vienlaicīgi vēršam uzmanību, ka attiecīgi jāpārskata visas MK noteikumos ietvertās atsauces uz 9.2. un 9.3.apakšpunktiem.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Projekta iesnieguma iesniedzēju neizslēdz no dalības projektu iesniegumu atlasē un  gala labuma guvēja atbalsta iesniegumu nenoraida, ja no dienas, kad kļuvis neapstrīdams un nepārsūdzams: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MK noteikumu plānotais 25.</w:t>
            </w:r>
            <w:r w:rsidR="00000000" w:rsidRPr="00000000" w:rsidDel="00000000">
              <w:rPr>
                <w:vertAlign w:val="superscript"/>
                <w:rtl w:val="0"/>
              </w:rPr>
              <w:t xml:space="preserve">1</w:t>
            </w:r>
            <w:r w:rsidR="00000000" w:rsidRPr="00000000" w:rsidDel="00000000">
              <w:rPr>
                <w:rtl w:val="0"/>
              </w:rPr>
              <w:t xml:space="preserve"> punkts attiecas gan uz projekta iesniedzēju, gan uz gala labuma guvēju, lūdzam precizēt plānoto 25.</w:t>
            </w:r>
            <w:r w:rsidR="00000000" w:rsidRPr="00000000" w:rsidDel="00000000">
              <w:rPr>
                <w:vertAlign w:val="superscript"/>
                <w:rtl w:val="0"/>
              </w:rPr>
              <w:t xml:space="preserve">1</w:t>
            </w:r>
            <w:r w:rsidR="00000000" w:rsidRPr="00000000" w:rsidDel="00000000">
              <w:rPr>
                <w:rtl w:val="0"/>
              </w:rPr>
              <w:t xml:space="preserve">1. un 25.</w:t>
            </w:r>
            <w:r w:rsidR="00000000" w:rsidRPr="00000000" w:rsidDel="00000000">
              <w:rPr>
                <w:vertAlign w:val="superscript"/>
                <w:rtl w:val="0"/>
              </w:rPr>
              <w:t xml:space="preserve">1</w:t>
            </w:r>
            <w:r w:rsidR="00000000" w:rsidRPr="00000000" w:rsidDel="00000000">
              <w:rPr>
                <w:rtl w:val="0"/>
              </w:rPr>
              <w:t xml:space="preserve">2. apakšpunktu, ietverot norādi gan uz projekta iesniegumu, gan atbalsta iesniegumu iesniegšanu.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1. tiesas spriedums, prokurora priekšraksts par sodu vai citas institūcijas pieņemtais lēmums saistībā ar šo noteikumu 25.1. vai 25.2.1. apakšpunktā minētajiem pārkāpumiem, līdz projekta iesnieguma </w:t>
            </w:r>
            <w:r w:rsidR="00000000" w:rsidRPr="00000000" w:rsidDel="00000000">
              <w:rPr>
                <w:u w:val="single"/>
                <w:rtl w:val="0"/>
              </w:rPr>
              <w:t xml:space="preserve">un atbalsta iesnieguma</w:t>
            </w:r>
            <w:r w:rsidR="00000000" w:rsidRPr="00000000" w:rsidDel="00000000">
              <w:rPr>
                <w:rtl w:val="0"/>
              </w:rPr>
              <w:t xml:space="preserve"> iesniegšanas dienai ir pagājuši trīs gadi;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2. tiesa spriedums vai citas institūcijas pieņemtais lēmums saistībā ar šo noteikumu 25.2.2. vai 25.3. apakšpunktā  minētajiem pārkāpumiem, līdz projekta iesnieguma </w:t>
            </w:r>
            <w:r w:rsidR="00000000" w:rsidRPr="00000000" w:rsidDel="00000000">
              <w:rPr>
                <w:u w:val="single"/>
                <w:rtl w:val="0"/>
              </w:rPr>
              <w:t xml:space="preserve">un atbalsta iesnieguma</w:t>
            </w:r>
            <w:r w:rsidR="00000000" w:rsidRPr="00000000" w:rsidDel="00000000">
              <w:rPr>
                <w:rtl w:val="0"/>
              </w:rPr>
              <w:t xml:space="preserve"> iesniegšanas dienai ir pagājuši 12 mēneši.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Ance Rudzīte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38.2.7.1. kopējā pasniedzēju darba samaksa par darba stundām, kas nepārsniedz apmācību kursu ilgumu (tai skaitā darba devēja valsts sociālās apdrošināšanas obligātās iemaksas);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"pasniedzēja darba samaksa" aizvietošanu ar "mācību personāla darba samaksa", ņemot vērā, ka investīcijas ietvaros ir iesaistītas arī izglītības iestādes, kurās apmācību kursa izveidē un pasniegšanā tiek iesaistīti vairāki izglītības iestādes personāla speciālisti, ne tikai pasniedzējs. Priekšlikums attiecināms arī uz 44.2.6.1.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Bērziņa (CFLA)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w:t>
            </w:r>
            <w:r w:rsidR="00000000" w:rsidRPr="00000000" w:rsidDel="00000000">
              <w:rPr>
                <w:rtl w:val="0"/>
              </w:rPr>
              <w:t xml:space="preserve">651/2014</w:t>
            </w:r>
            <w:r w:rsidR="00000000" w:rsidRPr="00000000" w:rsidDel="00000000">
              <w:rPr>
                <w:rtl w:val="0"/>
              </w:rPr>
              <w:t xml:space="preserve"> 2. panta 18. punktā noteiktajai definīcijai, vērtējot uzņēmumu grupas līmenī;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gala labuma guvēja atbilstība Komisijas reg.651/2014 2.panta 18.punkta definīcijai jāvērtē gan gala labuma guvējam individuāli, gan uzņēmuma grupas līmenī, MK noteikumu 89.3.apakšpunkta nepārprotamai interpretācijai aicinām to izteikt sekojošā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"89.3. gala labuma guvējs atbilst Komisijas regulas Nr. 651/2014 2. panta 18. punktā noteiktajai definīcijai. Atbilstību vērtē gala labuma guvējam individuāli un tā saistīto personu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Sanda Blumberga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25.02.2025. 15.57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24-TA-2284</w:t>
    </w:r>
    <w:r>
      <w:br/>
    </w:r>
    <w:r w:rsidR="00000000" w:rsidRPr="00000000" w:rsidDel="00000000">
      <w:rPr>
        <w:rtl w:val="0"/>
      </w:rPr>
      <w:t xml:space="preserve">Izdrukāts 25.02.2025. 15.57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Atzinumi_24-TA-2284.docx</dc:title>
</cp:coreProperties>
</file>

<file path=docProps/custom.xml><?xml version="1.0" encoding="utf-8"?>
<Properties xmlns="http://schemas.openxmlformats.org/officeDocument/2006/custom-properties" xmlns:vt="http://schemas.openxmlformats.org/officeDocument/2006/docPropsVTypes"/>
</file>