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2341"/>
        <w:tblW w:w="0" w:type="auto"/>
        <w:tblLook w:val="04A0" w:firstRow="1" w:lastRow="0" w:firstColumn="1" w:lastColumn="0" w:noHBand="0" w:noVBand="1"/>
      </w:tblPr>
      <w:tblGrid>
        <w:gridCol w:w="2840"/>
        <w:gridCol w:w="2838"/>
        <w:gridCol w:w="2618"/>
      </w:tblGrid>
      <w:tr w:rsidR="004F199D" w14:paraId="209CB0BD" w14:textId="77777777" w:rsidTr="00A64973">
        <w:tc>
          <w:tcPr>
            <w:tcW w:w="2840" w:type="dxa"/>
          </w:tcPr>
          <w:p w14:paraId="406CB0BE" w14:textId="77777777" w:rsidR="004F199D" w:rsidRPr="00077705" w:rsidRDefault="004F199D" w:rsidP="004F199D">
            <w:pPr>
              <w:rPr>
                <w:b/>
                <w:bCs/>
              </w:rPr>
            </w:pPr>
            <w:r w:rsidRPr="00077705">
              <w:rPr>
                <w:b/>
                <w:bCs/>
              </w:rPr>
              <w:t xml:space="preserve">Esošā versija </w:t>
            </w:r>
          </w:p>
        </w:tc>
        <w:tc>
          <w:tcPr>
            <w:tcW w:w="2838" w:type="dxa"/>
          </w:tcPr>
          <w:p w14:paraId="24C54350" w14:textId="77777777" w:rsidR="004F199D" w:rsidRPr="00077705" w:rsidRDefault="004F199D" w:rsidP="004F199D">
            <w:pPr>
              <w:rPr>
                <w:b/>
                <w:bCs/>
              </w:rPr>
            </w:pPr>
            <w:r w:rsidRPr="00077705">
              <w:rPr>
                <w:b/>
                <w:bCs/>
              </w:rPr>
              <w:t>Jaunā versija</w:t>
            </w:r>
          </w:p>
        </w:tc>
        <w:tc>
          <w:tcPr>
            <w:tcW w:w="2618" w:type="dxa"/>
          </w:tcPr>
          <w:p w14:paraId="3EB4292E" w14:textId="77777777" w:rsidR="004F199D" w:rsidRPr="00077705" w:rsidRDefault="004F199D" w:rsidP="004F199D">
            <w:pPr>
              <w:rPr>
                <w:b/>
                <w:bCs/>
              </w:rPr>
            </w:pPr>
            <w:r w:rsidRPr="00077705">
              <w:rPr>
                <w:b/>
                <w:bCs/>
              </w:rPr>
              <w:t xml:space="preserve">Pamatojums </w:t>
            </w:r>
          </w:p>
        </w:tc>
      </w:tr>
      <w:tr w:rsidR="00A64973" w14:paraId="37CC9609" w14:textId="77777777" w:rsidTr="00A64973">
        <w:tc>
          <w:tcPr>
            <w:tcW w:w="2840" w:type="dxa"/>
          </w:tcPr>
          <w:p w14:paraId="39C0ACFB" w14:textId="00CCA510" w:rsidR="00A64973" w:rsidRPr="00A64973" w:rsidRDefault="00A64973" w:rsidP="00A64973">
            <w:pPr>
              <w:rPr>
                <w:rFonts w:cstheme="minorHAnsi"/>
              </w:rPr>
            </w:pPr>
            <w:r w:rsidRPr="00A64973">
              <w:rPr>
                <w:rFonts w:cstheme="minorHAnsi"/>
              </w:rPr>
              <w:t xml:space="preserve">3. </w:t>
            </w:r>
            <w:r w:rsidRPr="00A64973">
              <w:rPr>
                <w:rFonts w:cstheme="minorHAnsi"/>
              </w:rPr>
              <w:t xml:space="preserve">Azbests ir </w:t>
            </w:r>
            <w:proofErr w:type="spellStart"/>
            <w:r w:rsidRPr="00A64973">
              <w:rPr>
                <w:rFonts w:cstheme="minorHAnsi"/>
              </w:rPr>
              <w:t>šķiedrveida</w:t>
            </w:r>
            <w:proofErr w:type="spellEnd"/>
            <w:r w:rsidRPr="00A64973">
              <w:rPr>
                <w:rFonts w:cstheme="minorHAnsi"/>
              </w:rPr>
              <w:t xml:space="preserve"> silikātu minerāls tīrā veidā vai azbesta šķiedras saturošs materiāls, kas atbilst Eiropas Parlamenta un Padomes 2008. gada 16. decembra Regulas (EK) Nr. 1272/2008 par vielu un maisījumu klasificēšanu, marķēšanu un iepakošanu un ar ko groza un atceļ Direktīvas 67/548/EEK un 1999/45/EK un groza Regulu (EK) Nr. 1907/2006, VI pielikuma 3. daļā noteiktajiem 1. A kategorijas kancerogēnu klasifikācijas kritērijiem — azbesta </w:t>
            </w:r>
            <w:proofErr w:type="spellStart"/>
            <w:r w:rsidRPr="00A64973">
              <w:rPr>
                <w:rFonts w:cstheme="minorHAnsi"/>
              </w:rPr>
              <w:t>aktinolīts</w:t>
            </w:r>
            <w:proofErr w:type="spellEnd"/>
            <w:r w:rsidRPr="00A64973">
              <w:rPr>
                <w:rFonts w:cstheme="minorHAnsi"/>
              </w:rPr>
              <w:t xml:space="preserve"> (CAS Nr.77536-66-4), azbesta </w:t>
            </w:r>
            <w:proofErr w:type="spellStart"/>
            <w:r w:rsidRPr="00A64973">
              <w:rPr>
                <w:rFonts w:cstheme="minorHAnsi"/>
              </w:rPr>
              <w:t>gruenerīts</w:t>
            </w:r>
            <w:proofErr w:type="spellEnd"/>
            <w:r w:rsidRPr="00A64973">
              <w:rPr>
                <w:rFonts w:cstheme="minorHAnsi"/>
              </w:rPr>
              <w:t xml:space="preserve"> (</w:t>
            </w:r>
            <w:proofErr w:type="spellStart"/>
            <w:r w:rsidRPr="00A64973">
              <w:rPr>
                <w:rFonts w:cstheme="minorHAnsi"/>
              </w:rPr>
              <w:t>amozīts</w:t>
            </w:r>
            <w:proofErr w:type="spellEnd"/>
            <w:r w:rsidRPr="00A64973">
              <w:rPr>
                <w:rFonts w:cstheme="minorHAnsi"/>
              </w:rPr>
              <w:t xml:space="preserve">) (CAS Nr.12172-73-5), azbesta </w:t>
            </w:r>
            <w:proofErr w:type="spellStart"/>
            <w:r w:rsidRPr="00A64973">
              <w:rPr>
                <w:rFonts w:cstheme="minorHAnsi"/>
              </w:rPr>
              <w:t>antofilīts</w:t>
            </w:r>
            <w:proofErr w:type="spellEnd"/>
            <w:r w:rsidRPr="00A64973">
              <w:rPr>
                <w:rFonts w:cstheme="minorHAnsi"/>
              </w:rPr>
              <w:t xml:space="preserve"> (CAS Nr.77536-67-5), </w:t>
            </w:r>
            <w:proofErr w:type="spellStart"/>
            <w:r w:rsidRPr="00A64973">
              <w:rPr>
                <w:rFonts w:cstheme="minorHAnsi"/>
              </w:rPr>
              <w:t>krizotils</w:t>
            </w:r>
            <w:proofErr w:type="spellEnd"/>
            <w:r w:rsidRPr="00A64973">
              <w:rPr>
                <w:rFonts w:cstheme="minorHAnsi"/>
              </w:rPr>
              <w:t xml:space="preserve"> (CAS Nr.12001-29-5), </w:t>
            </w:r>
            <w:proofErr w:type="spellStart"/>
            <w:r w:rsidRPr="00A64973">
              <w:rPr>
                <w:rFonts w:cstheme="minorHAnsi"/>
              </w:rPr>
              <w:t>krokidolīts</w:t>
            </w:r>
            <w:proofErr w:type="spellEnd"/>
            <w:r w:rsidRPr="00A64973">
              <w:rPr>
                <w:rFonts w:cstheme="minorHAnsi"/>
              </w:rPr>
              <w:t xml:space="preserve"> (CAS Nr.12001-28-4), azbesta </w:t>
            </w:r>
            <w:proofErr w:type="spellStart"/>
            <w:r w:rsidRPr="00A64973">
              <w:rPr>
                <w:rFonts w:cstheme="minorHAnsi"/>
              </w:rPr>
              <w:t>tremolīts</w:t>
            </w:r>
            <w:proofErr w:type="spellEnd"/>
            <w:r w:rsidRPr="00A64973">
              <w:rPr>
                <w:rFonts w:cstheme="minorHAnsi"/>
              </w:rPr>
              <w:t xml:space="preserve"> (CAS Nr.77536-68-6). Azbesta šķiedra ir tāda azbesta šķiedra, kuras platums nepārsniedz 0,2 mikrometrus, garums pārsniedz piecus mikrometrus un garuma un platuma attiecība ir lielāka nekā 3:1.</w:t>
            </w:r>
          </w:p>
          <w:p w14:paraId="005AEC5B" w14:textId="77777777" w:rsidR="00A64973" w:rsidRPr="00A64973" w:rsidRDefault="00A64973" w:rsidP="004F199D">
            <w:pPr>
              <w:rPr>
                <w:rFonts w:cstheme="minorHAnsi"/>
              </w:rPr>
            </w:pPr>
          </w:p>
        </w:tc>
        <w:tc>
          <w:tcPr>
            <w:tcW w:w="2838" w:type="dxa"/>
          </w:tcPr>
          <w:p w14:paraId="3B29FF34" w14:textId="75EC6399" w:rsidR="00A64973" w:rsidRPr="00A64973" w:rsidRDefault="00A64973" w:rsidP="004F199D">
            <w:pPr>
              <w:rPr>
                <w:rFonts w:cstheme="minorHAnsi"/>
              </w:rPr>
            </w:pPr>
            <w:r w:rsidRPr="00A64973">
              <w:rPr>
                <w:rFonts w:cstheme="minorHAnsi"/>
              </w:rPr>
              <w:t xml:space="preserve">3. Azbests ir </w:t>
            </w:r>
            <w:proofErr w:type="spellStart"/>
            <w:r w:rsidRPr="00A64973">
              <w:rPr>
                <w:rFonts w:cstheme="minorHAnsi"/>
              </w:rPr>
              <w:t>šķiedrveida</w:t>
            </w:r>
            <w:proofErr w:type="spellEnd"/>
            <w:r w:rsidRPr="00A64973">
              <w:rPr>
                <w:rFonts w:cstheme="minorHAnsi"/>
              </w:rPr>
              <w:t xml:space="preserve"> silikātu minerāls tīrā veidā vai azbesta šķiedras saturošs materiāls, kas atbilst Eiropas Parlamenta un Padomes 2008. gada 16. decembra Regulas (EK) Nr. 1272/2008 par vielu un maisījumu klasificēšanu, marķēšanu un iepakošanu un ar ko groza un atceļ Direktīvas 67/548/EEK un 1999/45/EK un groza Regulu (EK) Nr. 1907/2006, VI pielikuma 3. daļā noteiktajiem 1. A kategorijas kancerogēnu klasifikācijas kritērijiem — azbesta </w:t>
            </w:r>
            <w:proofErr w:type="spellStart"/>
            <w:r w:rsidRPr="00A64973">
              <w:rPr>
                <w:rFonts w:cstheme="minorHAnsi"/>
              </w:rPr>
              <w:t>aktinolīts</w:t>
            </w:r>
            <w:proofErr w:type="spellEnd"/>
            <w:r w:rsidRPr="00A64973">
              <w:rPr>
                <w:rFonts w:cstheme="minorHAnsi"/>
              </w:rPr>
              <w:t xml:space="preserve"> (CAS Nr.77536-66-4), azbesta </w:t>
            </w:r>
            <w:proofErr w:type="spellStart"/>
            <w:r w:rsidRPr="00A64973">
              <w:rPr>
                <w:rFonts w:cstheme="minorHAnsi"/>
              </w:rPr>
              <w:t>gruenerīts</w:t>
            </w:r>
            <w:proofErr w:type="spellEnd"/>
            <w:r w:rsidRPr="00A64973">
              <w:rPr>
                <w:rFonts w:cstheme="minorHAnsi"/>
              </w:rPr>
              <w:t xml:space="preserve"> (</w:t>
            </w:r>
            <w:proofErr w:type="spellStart"/>
            <w:r w:rsidRPr="00A64973">
              <w:rPr>
                <w:rFonts w:cstheme="minorHAnsi"/>
              </w:rPr>
              <w:t>amozīts</w:t>
            </w:r>
            <w:proofErr w:type="spellEnd"/>
            <w:r w:rsidRPr="00A64973">
              <w:rPr>
                <w:rFonts w:cstheme="minorHAnsi"/>
              </w:rPr>
              <w:t xml:space="preserve">) (CAS Nr.12172-73-5), azbesta </w:t>
            </w:r>
            <w:proofErr w:type="spellStart"/>
            <w:r w:rsidRPr="00A64973">
              <w:rPr>
                <w:rFonts w:cstheme="minorHAnsi"/>
              </w:rPr>
              <w:t>antofilīts</w:t>
            </w:r>
            <w:proofErr w:type="spellEnd"/>
            <w:r w:rsidRPr="00A64973">
              <w:rPr>
                <w:rFonts w:cstheme="minorHAnsi"/>
              </w:rPr>
              <w:t xml:space="preserve"> (CAS Nr.77536-67-5), </w:t>
            </w:r>
            <w:proofErr w:type="spellStart"/>
            <w:r w:rsidRPr="00A64973">
              <w:rPr>
                <w:rFonts w:cstheme="minorHAnsi"/>
              </w:rPr>
              <w:t>krizotils</w:t>
            </w:r>
            <w:proofErr w:type="spellEnd"/>
            <w:r w:rsidRPr="00A64973">
              <w:rPr>
                <w:rFonts w:cstheme="minorHAnsi"/>
              </w:rPr>
              <w:t xml:space="preserve"> (CAS Nr.12001-29-5), </w:t>
            </w:r>
            <w:proofErr w:type="spellStart"/>
            <w:r w:rsidRPr="00A64973">
              <w:rPr>
                <w:rFonts w:cstheme="minorHAnsi"/>
              </w:rPr>
              <w:t>krokidolīts</w:t>
            </w:r>
            <w:proofErr w:type="spellEnd"/>
            <w:r w:rsidRPr="00A64973">
              <w:rPr>
                <w:rFonts w:cstheme="minorHAnsi"/>
              </w:rPr>
              <w:t xml:space="preserve"> (CAS Nr.12001-28-4), azbesta </w:t>
            </w:r>
            <w:proofErr w:type="spellStart"/>
            <w:r w:rsidRPr="00A64973">
              <w:rPr>
                <w:rFonts w:cstheme="minorHAnsi"/>
              </w:rPr>
              <w:t>tremolīts</w:t>
            </w:r>
            <w:proofErr w:type="spellEnd"/>
            <w:r w:rsidRPr="00A64973">
              <w:rPr>
                <w:rFonts w:cstheme="minorHAnsi"/>
              </w:rPr>
              <w:t xml:space="preserve"> (CAS Nr.77536-68-6). Azbesta šķiedra</w:t>
            </w:r>
          </w:p>
        </w:tc>
        <w:tc>
          <w:tcPr>
            <w:tcW w:w="2618" w:type="dxa"/>
          </w:tcPr>
          <w:p w14:paraId="553044CF" w14:textId="5F39D2AF" w:rsidR="00A64973" w:rsidRPr="00A64973" w:rsidRDefault="00A64973" w:rsidP="004F199D">
            <w:pPr>
              <w:rPr>
                <w:rFonts w:cstheme="minorHAnsi"/>
              </w:rPr>
            </w:pPr>
            <w:r w:rsidRPr="00A64973">
              <w:rPr>
                <w:rFonts w:cstheme="minorHAnsi"/>
                <w:kern w:val="0"/>
                <w:lang w:val="en-GB"/>
              </w:rPr>
              <w:t xml:space="preserve">Nav ne </w:t>
            </w:r>
            <w:proofErr w:type="spellStart"/>
            <w:r w:rsidRPr="00A64973">
              <w:rPr>
                <w:rFonts w:cstheme="minorHAnsi"/>
                <w:kern w:val="0"/>
                <w:lang w:val="en-GB"/>
              </w:rPr>
              <w:t>jausmas</w:t>
            </w:r>
            <w:proofErr w:type="spellEnd"/>
            <w:r w:rsidRPr="00A64973">
              <w:rPr>
                <w:rFonts w:cstheme="minorHAnsi"/>
                <w:kern w:val="0"/>
                <w:lang w:val="en-GB"/>
              </w:rPr>
              <w:t xml:space="preserve">, </w:t>
            </w:r>
            <w:proofErr w:type="spellStart"/>
            <w:r w:rsidRPr="00A64973">
              <w:rPr>
                <w:rFonts w:cstheme="minorHAnsi"/>
                <w:kern w:val="0"/>
                <w:lang w:val="en-GB"/>
              </w:rPr>
              <w:t>kā</w:t>
            </w:r>
            <w:proofErr w:type="spellEnd"/>
            <w:r w:rsidRPr="00A64973">
              <w:rPr>
                <w:rFonts w:cstheme="minorHAnsi"/>
                <w:kern w:val="0"/>
                <w:lang w:val="en-GB"/>
              </w:rPr>
              <w:t xml:space="preserve"> DA </w:t>
            </w:r>
            <w:proofErr w:type="spellStart"/>
            <w:r w:rsidRPr="00A64973">
              <w:rPr>
                <w:rFonts w:cstheme="minorHAnsi"/>
                <w:kern w:val="0"/>
                <w:lang w:val="en-GB"/>
              </w:rPr>
              <w:t>speciālisti</w:t>
            </w:r>
            <w:proofErr w:type="spellEnd"/>
            <w:r w:rsidRPr="00A64973">
              <w:rPr>
                <w:rFonts w:cstheme="minorHAnsi"/>
                <w:kern w:val="0"/>
                <w:lang w:val="en-GB"/>
              </w:rPr>
              <w:t xml:space="preserve"> </w:t>
            </w:r>
            <w:proofErr w:type="spellStart"/>
            <w:r w:rsidRPr="00A64973">
              <w:rPr>
                <w:rFonts w:cstheme="minorHAnsi"/>
                <w:kern w:val="0"/>
                <w:lang w:val="en-GB"/>
              </w:rPr>
              <w:t>vai</w:t>
            </w:r>
            <w:proofErr w:type="spellEnd"/>
            <w:r w:rsidRPr="00A64973">
              <w:rPr>
                <w:rFonts w:cstheme="minorHAnsi"/>
                <w:kern w:val="0"/>
                <w:lang w:val="en-GB"/>
              </w:rPr>
              <w:t xml:space="preserve"> </w:t>
            </w:r>
            <w:proofErr w:type="spellStart"/>
            <w:r w:rsidRPr="00A64973">
              <w:rPr>
                <w:rFonts w:cstheme="minorHAnsi"/>
                <w:kern w:val="0"/>
                <w:lang w:val="en-GB"/>
              </w:rPr>
              <w:t>d</w:t>
            </w:r>
            <w:r w:rsidRPr="00A64973">
              <w:rPr>
                <w:rFonts w:cstheme="minorHAnsi"/>
                <w:kern w:val="0"/>
                <w:lang w:val="en-GB"/>
              </w:rPr>
              <w:t>a</w:t>
            </w:r>
            <w:r w:rsidRPr="00A64973">
              <w:rPr>
                <w:rFonts w:cstheme="minorHAnsi"/>
                <w:kern w:val="0"/>
                <w:lang w:val="en-GB"/>
              </w:rPr>
              <w:t>rba</w:t>
            </w:r>
            <w:proofErr w:type="spellEnd"/>
            <w:r w:rsidRPr="00A64973">
              <w:rPr>
                <w:rFonts w:cstheme="minorHAnsi"/>
                <w:kern w:val="0"/>
                <w:lang w:val="en-GB"/>
              </w:rPr>
              <w:t xml:space="preserve"> </w:t>
            </w:r>
            <w:proofErr w:type="spellStart"/>
            <w:r w:rsidRPr="00A64973">
              <w:rPr>
                <w:rFonts w:cstheme="minorHAnsi"/>
                <w:kern w:val="0"/>
                <w:lang w:val="en-GB"/>
              </w:rPr>
              <w:t>devējs</w:t>
            </w:r>
            <w:proofErr w:type="spellEnd"/>
            <w:r w:rsidRPr="00A64973">
              <w:rPr>
                <w:rFonts w:cstheme="minorHAnsi"/>
                <w:kern w:val="0"/>
                <w:lang w:val="en-GB"/>
              </w:rPr>
              <w:t xml:space="preserve"> </w:t>
            </w:r>
            <w:proofErr w:type="spellStart"/>
            <w:r w:rsidRPr="00A64973">
              <w:rPr>
                <w:rFonts w:cstheme="minorHAnsi"/>
                <w:kern w:val="0"/>
                <w:lang w:val="en-GB"/>
              </w:rPr>
              <w:t>varēs</w:t>
            </w:r>
            <w:proofErr w:type="spellEnd"/>
            <w:r w:rsidRPr="00A64973">
              <w:rPr>
                <w:rFonts w:cstheme="minorHAnsi"/>
                <w:kern w:val="0"/>
                <w:lang w:val="en-GB"/>
              </w:rPr>
              <w:t xml:space="preserve"> </w:t>
            </w:r>
            <w:proofErr w:type="spellStart"/>
            <w:r w:rsidRPr="00A64973">
              <w:rPr>
                <w:rFonts w:cstheme="minorHAnsi"/>
                <w:kern w:val="0"/>
                <w:lang w:val="en-GB"/>
              </w:rPr>
              <w:t>noteikt</w:t>
            </w:r>
            <w:proofErr w:type="spellEnd"/>
            <w:r w:rsidRPr="00A64973">
              <w:rPr>
                <w:rFonts w:cstheme="minorHAnsi"/>
                <w:kern w:val="0"/>
                <w:lang w:val="en-GB"/>
              </w:rPr>
              <w:t xml:space="preserve"> </w:t>
            </w:r>
            <w:proofErr w:type="gramStart"/>
            <w:r w:rsidRPr="00A64973">
              <w:rPr>
                <w:rFonts w:cstheme="minorHAnsi"/>
                <w:kern w:val="0"/>
                <w:lang w:val="en-GB"/>
              </w:rPr>
              <w:t>As</w:t>
            </w:r>
            <w:proofErr w:type="gramEnd"/>
            <w:r w:rsidRPr="00A64973">
              <w:rPr>
                <w:rFonts w:cstheme="minorHAnsi"/>
                <w:kern w:val="0"/>
                <w:lang w:val="en-GB"/>
              </w:rPr>
              <w:t xml:space="preserve"> </w:t>
            </w:r>
            <w:proofErr w:type="spellStart"/>
            <w:r w:rsidRPr="00A64973">
              <w:rPr>
                <w:rFonts w:cstheme="minorHAnsi"/>
                <w:kern w:val="0"/>
                <w:lang w:val="en-GB"/>
              </w:rPr>
              <w:t>šķiedras</w:t>
            </w:r>
            <w:proofErr w:type="spellEnd"/>
            <w:r w:rsidRPr="00A64973">
              <w:rPr>
                <w:rFonts w:cstheme="minorHAnsi"/>
                <w:kern w:val="0"/>
                <w:lang w:val="en-GB"/>
              </w:rPr>
              <w:t xml:space="preserve"> </w:t>
            </w:r>
            <w:proofErr w:type="spellStart"/>
            <w:r w:rsidRPr="00A64973">
              <w:rPr>
                <w:rFonts w:cstheme="minorHAnsi"/>
                <w:kern w:val="0"/>
                <w:lang w:val="en-GB"/>
              </w:rPr>
              <w:t>izmērus</w:t>
            </w:r>
            <w:proofErr w:type="spellEnd"/>
            <w:r w:rsidRPr="00A64973">
              <w:rPr>
                <w:rFonts w:cstheme="minorHAnsi"/>
                <w:kern w:val="0"/>
                <w:lang w:val="en-GB"/>
              </w:rPr>
              <w:t xml:space="preserve"> bez </w:t>
            </w:r>
            <w:proofErr w:type="spellStart"/>
            <w:r w:rsidRPr="00A64973">
              <w:rPr>
                <w:rFonts w:cstheme="minorHAnsi"/>
                <w:kern w:val="0"/>
                <w:lang w:val="en-GB"/>
              </w:rPr>
              <w:t>mikroskopa</w:t>
            </w:r>
            <w:proofErr w:type="spellEnd"/>
          </w:p>
        </w:tc>
      </w:tr>
      <w:tr w:rsidR="004F199D" w14:paraId="44B7A0C1" w14:textId="77777777" w:rsidTr="00A64973">
        <w:tc>
          <w:tcPr>
            <w:tcW w:w="2840" w:type="dxa"/>
          </w:tcPr>
          <w:p w14:paraId="36351322" w14:textId="77777777" w:rsidR="004F199D" w:rsidRPr="00077705" w:rsidRDefault="004F199D" w:rsidP="004F199D">
            <w:r>
              <w:t xml:space="preserve">8. </w:t>
            </w:r>
            <w:r w:rsidRPr="002C5F37">
              <w:t xml:space="preserve">Azbesta radīta riska novērtēšanu darba devējs nodrošina saskaņā ar uzņēmuma darba vides iekšējās uzraudzības un darba vides riska novērtēšanas prasībām normatīvajos aktos noteiktajā kārtībā, iesaistot uzticības personas un nodarbinātos. Plānojot veikt jebkuras darbības, kas var būt saistītas ar nodarbinātā </w:t>
            </w:r>
            <w:r w:rsidRPr="002C5F37">
              <w:lastRenderedPageBreak/>
              <w:t>pakļaušanu azbesta vai azbestu saturošu materiālu putekļu iedarbībai, darba devējs novērtē risku tā, lai noteiktu to putekļu iedarbības raksturu un pakāpi uz nodarbināto, ko rada azbests vai azbestu saturoši materiāli, un lai piešķirtu prioritāti azbesta vai azbestu saturošu materiālu aizvākšanai salīdzinājumā ar citām iespējamām darbībām ar azbestu.</w:t>
            </w:r>
          </w:p>
        </w:tc>
        <w:tc>
          <w:tcPr>
            <w:tcW w:w="2838" w:type="dxa"/>
          </w:tcPr>
          <w:p w14:paraId="2D2BDC57" w14:textId="77777777" w:rsidR="004F199D" w:rsidRPr="00077705" w:rsidRDefault="004F199D" w:rsidP="004F199D">
            <w:r>
              <w:lastRenderedPageBreak/>
              <w:t xml:space="preserve">8. </w:t>
            </w:r>
            <w:r w:rsidRPr="002C5F37">
              <w:t>Azbesta radīta riska novērtēšanu darba devējs nodrošina saskaņā ar uzņēmuma darba vides iekšējās uzraudzības un darba vides riska novērtēšanas prasībām normatīvajos aktos noteiktajā kārtībā, iesaistot uzticības personas</w:t>
            </w:r>
            <w:r>
              <w:t xml:space="preserve">, </w:t>
            </w:r>
            <w:r w:rsidRPr="002C5F37">
              <w:rPr>
                <w:highlight w:val="yellow"/>
              </w:rPr>
              <w:t>ja tādas ir ievēlētas,</w:t>
            </w:r>
            <w:r w:rsidRPr="002C5F37">
              <w:t xml:space="preserve"> un nodarbinātos. Plānojot veikt jebkuras darbības, kas var būt saistītas </w:t>
            </w:r>
            <w:r w:rsidRPr="002C5F37">
              <w:lastRenderedPageBreak/>
              <w:t>ar nodarbinātā pakļaušanu azbesta vai azbestu saturošu materiālu putekļu iedarbībai, darba devējs novērtē risku tā, lai noteiktu to putekļu iedarbības raksturu un pakāpi uz nodarbināto, ko rada azbests vai azbestu saturoši materiāli, un lai piešķirtu prioritāti azbesta vai azbestu saturošu materiālu aizvākšanai salīdzinājumā ar citām iespējamām darbībām ar azbestu.</w:t>
            </w:r>
          </w:p>
        </w:tc>
        <w:tc>
          <w:tcPr>
            <w:tcW w:w="2618" w:type="dxa"/>
          </w:tcPr>
          <w:p w14:paraId="06B0B90B" w14:textId="77777777" w:rsidR="004F199D" w:rsidRDefault="004F199D" w:rsidP="004F199D">
            <w:r>
              <w:lastRenderedPageBreak/>
              <w:t xml:space="preserve">Ne visos uzņēmumos ir ievēlētas uzticības personas un uzticības personu esamība nav obligāta prasība. </w:t>
            </w:r>
          </w:p>
        </w:tc>
      </w:tr>
      <w:tr w:rsidR="004F199D" w14:paraId="58A17C32" w14:textId="77777777" w:rsidTr="00A64973">
        <w:tc>
          <w:tcPr>
            <w:tcW w:w="2840" w:type="dxa"/>
          </w:tcPr>
          <w:p w14:paraId="539EEA13" w14:textId="77777777" w:rsidR="004F199D" w:rsidRPr="00077705" w:rsidRDefault="004F199D" w:rsidP="004F199D">
            <w:r w:rsidRPr="00077705">
              <w:t>9.</w:t>
            </w:r>
            <w:r>
              <w:t xml:space="preserve"> </w:t>
            </w:r>
            <w:r w:rsidRPr="00077705">
              <w:t>Darba devējs nodrošina azbesta radītā riska novērtēšanu un pirmreizējos azbesta šķiedru ekspozīcijas mērījumus darba vides gaisā (azbesta šķiedru daudzums noteiktā gaisa tilpuma vienībā (šķiedras/cm</w:t>
            </w:r>
            <w:r w:rsidRPr="00077705">
              <w:rPr>
                <w:vertAlign w:val="superscript"/>
              </w:rPr>
              <w:t>3</w:t>
            </w:r>
            <w:r w:rsidRPr="00077705">
              <w:t>)) visās darba vietās, kur pēc sākotnējās darba vietu pārbaudes konstatēts, ka tajās ir vai ir iespējama saskare ar azbestu.</w:t>
            </w:r>
          </w:p>
          <w:p w14:paraId="1286AC34" w14:textId="77777777" w:rsidR="004F199D" w:rsidRDefault="004F199D" w:rsidP="004F199D"/>
        </w:tc>
        <w:tc>
          <w:tcPr>
            <w:tcW w:w="2838" w:type="dxa"/>
          </w:tcPr>
          <w:p w14:paraId="5388FD70" w14:textId="77777777" w:rsidR="004F199D" w:rsidRDefault="004F199D" w:rsidP="004F199D">
            <w:r w:rsidRPr="00077705">
              <w:t>9.</w:t>
            </w:r>
            <w:r>
              <w:t xml:space="preserve"> </w:t>
            </w:r>
            <w:r w:rsidRPr="00077705">
              <w:t>Darba devējs nodrošina azbesta radītā riska novērtēšanu un pirmreizējos azbesta šķiedru ekspozīcijas mērījumus darba vides gaisā (azbesta šķiedru daudzums noteiktā gaisa tilpuma vienībā (šķiedras/cm</w:t>
            </w:r>
            <w:r w:rsidRPr="00077705">
              <w:rPr>
                <w:vertAlign w:val="superscript"/>
              </w:rPr>
              <w:t>3</w:t>
            </w:r>
            <w:r w:rsidRPr="00077705">
              <w:t>)) visās darba vietās, kur pēc sākotnējās darba vietu pārbaudes konstatēts, ka tajās ir vai ir iespējama saskare ar azbestu.</w:t>
            </w:r>
            <w:r>
              <w:t xml:space="preserve"> </w:t>
            </w:r>
            <w:r w:rsidRPr="002C5F37">
              <w:rPr>
                <w:highlight w:val="yellow"/>
              </w:rPr>
              <w:t>Azbesta šķiedru pirmreizējos ekspozīcijas mērījumus darba vides gaisā var neveikt, ja tiek veikti azbestu saturošu materiālu demontāžas darbi vai konstatēts, ka iespējamā saskarsme ar azbestu būs āra vidē</w:t>
            </w:r>
            <w:r>
              <w:t>.</w:t>
            </w:r>
          </w:p>
        </w:tc>
        <w:tc>
          <w:tcPr>
            <w:tcW w:w="2618" w:type="dxa"/>
          </w:tcPr>
          <w:p w14:paraId="496F9485" w14:textId="77777777" w:rsidR="004F199D" w:rsidRDefault="004F199D" w:rsidP="004F199D">
            <w:r>
              <w:t xml:space="preserve">Tādi kādreiz izmantotie būvmateriāli kā šīferis miera stāvoklī azbesta šķiedras neizdala, kā arī visbiežāk atrodas uz ēku jumtiem āra vidē, kur veiktie darba vides mērījumi nevar būt objektīvi, jo var mainīties ik sekundi, atkarībā no vēja, lietus u.c. apstākļiem. </w:t>
            </w:r>
          </w:p>
        </w:tc>
      </w:tr>
    </w:tbl>
    <w:p w14:paraId="220C0F5D" w14:textId="5E2590B6" w:rsidR="00AB06DA" w:rsidRDefault="004F199D" w:rsidP="004F199D">
      <w:pPr>
        <w:jc w:val="center"/>
      </w:pPr>
      <w:r>
        <w:rPr>
          <w:b/>
          <w:bCs/>
        </w:rPr>
        <w:t>Ieteikumi grozījumiem MK noteikumos Nr. 804 “</w:t>
      </w:r>
      <w:r w:rsidRPr="004F199D">
        <w:rPr>
          <w:b/>
          <w:bCs/>
        </w:rPr>
        <w:t>Darba aizsardzības prasības darbā ar azbestu</w:t>
      </w:r>
      <w:r>
        <w:rPr>
          <w:b/>
          <w:bCs/>
        </w:rPr>
        <w:t>”</w:t>
      </w:r>
    </w:p>
    <w:sectPr w:rsidR="00AB06D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705"/>
    <w:rsid w:val="00077705"/>
    <w:rsid w:val="00226A58"/>
    <w:rsid w:val="00293BE9"/>
    <w:rsid w:val="002B43CF"/>
    <w:rsid w:val="002C5F37"/>
    <w:rsid w:val="004F199D"/>
    <w:rsid w:val="00601285"/>
    <w:rsid w:val="007C3CDA"/>
    <w:rsid w:val="00816437"/>
    <w:rsid w:val="00A64973"/>
    <w:rsid w:val="00AB06DA"/>
    <w:rsid w:val="00DF2634"/>
    <w:rsid w:val="00E629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5EF58"/>
  <w15:chartTrackingRefBased/>
  <w15:docId w15:val="{272DAA51-BB36-4640-911C-0330879A2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77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777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777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777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777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777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77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77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77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7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77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77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77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77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77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77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77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7705"/>
    <w:rPr>
      <w:rFonts w:eastAsiaTheme="majorEastAsia" w:cstheme="majorBidi"/>
      <w:color w:val="272727" w:themeColor="text1" w:themeTint="D8"/>
    </w:rPr>
  </w:style>
  <w:style w:type="paragraph" w:styleId="Title">
    <w:name w:val="Title"/>
    <w:basedOn w:val="Normal"/>
    <w:next w:val="Normal"/>
    <w:link w:val="TitleChar"/>
    <w:uiPriority w:val="10"/>
    <w:qFormat/>
    <w:rsid w:val="000777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77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77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77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7705"/>
    <w:pPr>
      <w:spacing w:before="160"/>
      <w:jc w:val="center"/>
    </w:pPr>
    <w:rPr>
      <w:i/>
      <w:iCs/>
      <w:color w:val="404040" w:themeColor="text1" w:themeTint="BF"/>
    </w:rPr>
  </w:style>
  <w:style w:type="character" w:customStyle="1" w:styleId="QuoteChar">
    <w:name w:val="Quote Char"/>
    <w:basedOn w:val="DefaultParagraphFont"/>
    <w:link w:val="Quote"/>
    <w:uiPriority w:val="29"/>
    <w:rsid w:val="00077705"/>
    <w:rPr>
      <w:i/>
      <w:iCs/>
      <w:color w:val="404040" w:themeColor="text1" w:themeTint="BF"/>
    </w:rPr>
  </w:style>
  <w:style w:type="paragraph" w:styleId="ListParagraph">
    <w:name w:val="List Paragraph"/>
    <w:basedOn w:val="Normal"/>
    <w:uiPriority w:val="34"/>
    <w:qFormat/>
    <w:rsid w:val="00077705"/>
    <w:pPr>
      <w:ind w:left="720"/>
      <w:contextualSpacing/>
    </w:pPr>
  </w:style>
  <w:style w:type="character" w:styleId="IntenseEmphasis">
    <w:name w:val="Intense Emphasis"/>
    <w:basedOn w:val="DefaultParagraphFont"/>
    <w:uiPriority w:val="21"/>
    <w:qFormat/>
    <w:rsid w:val="00077705"/>
    <w:rPr>
      <w:i/>
      <w:iCs/>
      <w:color w:val="2F5496" w:themeColor="accent1" w:themeShade="BF"/>
    </w:rPr>
  </w:style>
  <w:style w:type="paragraph" w:styleId="IntenseQuote">
    <w:name w:val="Intense Quote"/>
    <w:basedOn w:val="Normal"/>
    <w:next w:val="Normal"/>
    <w:link w:val="IntenseQuoteChar"/>
    <w:uiPriority w:val="30"/>
    <w:qFormat/>
    <w:rsid w:val="000777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77705"/>
    <w:rPr>
      <w:i/>
      <w:iCs/>
      <w:color w:val="2F5496" w:themeColor="accent1" w:themeShade="BF"/>
    </w:rPr>
  </w:style>
  <w:style w:type="character" w:styleId="IntenseReference">
    <w:name w:val="Intense Reference"/>
    <w:basedOn w:val="DefaultParagraphFont"/>
    <w:uiPriority w:val="32"/>
    <w:qFormat/>
    <w:rsid w:val="00077705"/>
    <w:rPr>
      <w:b/>
      <w:bCs/>
      <w:smallCaps/>
      <w:color w:val="2F5496" w:themeColor="accent1" w:themeShade="BF"/>
      <w:spacing w:val="5"/>
    </w:rPr>
  </w:style>
  <w:style w:type="table" w:styleId="TableGrid">
    <w:name w:val="Table Grid"/>
    <w:basedOn w:val="TableNormal"/>
    <w:uiPriority w:val="39"/>
    <w:rsid w:val="000777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64973"/>
    <w:rPr>
      <w:sz w:val="16"/>
      <w:szCs w:val="16"/>
    </w:rPr>
  </w:style>
  <w:style w:type="paragraph" w:styleId="CommentText">
    <w:name w:val="annotation text"/>
    <w:basedOn w:val="Normal"/>
    <w:link w:val="CommentTextChar"/>
    <w:uiPriority w:val="99"/>
    <w:semiHidden/>
    <w:unhideWhenUsed/>
    <w:rsid w:val="00A64973"/>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semiHidden/>
    <w:rsid w:val="00A64973"/>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28713">
      <w:bodyDiv w:val="1"/>
      <w:marLeft w:val="0"/>
      <w:marRight w:val="0"/>
      <w:marTop w:val="0"/>
      <w:marBottom w:val="0"/>
      <w:divBdr>
        <w:top w:val="none" w:sz="0" w:space="0" w:color="auto"/>
        <w:left w:val="none" w:sz="0" w:space="0" w:color="auto"/>
        <w:bottom w:val="none" w:sz="0" w:space="0" w:color="auto"/>
        <w:right w:val="none" w:sz="0" w:space="0" w:color="auto"/>
      </w:divBdr>
    </w:div>
    <w:div w:id="300499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649</Words>
  <Characters>3702</Characters>
  <Application>Microsoft Office Word</Application>
  <DocSecurity>0</DocSecurity>
  <Lines>30</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Elstina</dc:creator>
  <cp:keywords/>
  <dc:description/>
  <cp:lastModifiedBy>Inga Ezerose</cp:lastModifiedBy>
  <cp:revision>2</cp:revision>
  <dcterms:created xsi:type="dcterms:W3CDTF">2025-11-02T13:13:00Z</dcterms:created>
  <dcterms:modified xsi:type="dcterms:W3CDTF">2025-11-02T13:13:00Z</dcterms:modified>
</cp:coreProperties>
</file>