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"Individuālu (vienreizēju) konsultāciju pakalpojumi" un intervencē "Daudzgadu konsultāciju pakalpojumi (“inkubācija”)"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nodrošinātu šo noteikumu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intervenču īstenošanu, Lauku atbalsta dienests un finansējuma saņēmējs, kas sniedz konkrēto pakalpojumu, apstrādā personas datus – personas vārdu, uzvārdu, personas kodu, dzimumu, tālruņa numuru, e-pasta adresi, Lauku atbalsta dienesta klienta numuru, nekustamā īpašuma adresi, nekustamā īpašuma kadastra numuru. Personas datus uzglabā līdz 2037. gada 31. decembrim. Pēc tam tos iznīcina saskaņā ar </w:t>
            </w:r>
            <w:r w:rsidR="00000000" w:rsidRPr="00000000" w:rsidDel="00000000">
              <w:rPr>
                <w:rtl w:val="0"/>
              </w:rPr>
              <w:t xml:space="preserve">Arhīvu likumā</w:t>
            </w:r>
            <w:r w:rsidR="00000000" w:rsidRPr="00000000" w:rsidDel="00000000">
              <w:rPr>
                <w:rtl w:val="0"/>
              </w:rPr>
              <w:t xml:space="preserve">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noteikumu projekta 5. panta satura atbilstību Eiropas Parlamenta un Padomes 2016. gada 27. aprīļa Regulas (ES) 2016/679 par fizisku personu aizsardzību attiecībā uz personas datu apstrādi un šādu datu brīvu apriti un ar ko atceļ Direktīvu 95/46/EK (Vispārīgā datu aizsardzības regula) (turpmāk – Datu regula) nosacījumiem, Datu valsts inspekcija konstatē šādas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Datu regula 5. panta 1. punkta c) apakšpunktā noteikto minimizācijas principu, personas dati ir adekvāti, atbilstīgi un ietver tikai to, kas nepieciešams to apstrādes nolūkam. Noteikumu projekta 5. punktā noteikts, ka Lauku atbalsta dienests un finansējuma saņēmējs apstrādās "dzimuma"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secināms, ka "dzimuma" personas datu apstrādei nav konkrēta nolūka, kas nozīmē, ka šāda personas datu apstrāde ir lieka un neatbilst Vispārīgās datu aizsardzības regulas nosacījumiem. Vēršam uzmanību, ka arī anotācijā nav ietverts skaidrojums par “dzimuma” datu apstrādes nolūku un secinājums, ka konkrētu nolūku nav iespējams sasniegt bez šo datu apstrādes.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šajā punktā minēto, lūdzam izslēgt no noteikumu projekta 5. punkta redakcijas "dzimuma"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Vērtējot noteikumu projektu, Inspekcija secina, ka noteikumu projekta 5. punkta redakcijā nav iekļauti personas dati, kuri norādīti noteikumu projekta 7.  un 16.1. punktā,  proti, deklarētās dzīvesvietas dati.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7.  un 16.1. punkta izriet nepieciešamība pārzinim apstrādāt fiziskas personas deklarētās dzīvesvietas datus, kas pēctecīgi fiziskai personai (gala labuma guvējam) rada noteiktas sekas, šie personas dati būtu iekļaujami noteikumu projekta 5. punkta personas datu uzskaitījumā.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5. punktā noteikts, ka personas datus uzglabā līdz 2037. gada 31. decembrim un pēc tam tos iznīcina saskaņā ar Arhīvu likumā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Datu regulas 5. panta 1. punkta e) apakšpunktā noteikto personas datu glabāšanas ierobežojuma principu, personas dati tiek glabāti veidā, kas pieļauj datu subjekta identifikāciju ne ilgāk kā nepieciešams nolūkiem, kādos attiecīgos personas datus apstrādā.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un anotācija nepaskaidro personas datu glabāšanas termiņa nepieciešamību līdz 2037. gada 31. decembrim, Inspekcijas ieskatā noteiktais termiņš neatbilst Datu regulas 5. panta 1. punkta e) apakšpunktā noteiktajam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punktā ir noteikts datu apstrādes nolūks, proti, konsultāciju sniegšana (vienreizēja vai daudzgadu), kas nozīmē, ka, piemēram, sniedzot vienreizēju konsultāciju, datu apstrādes nolūks tiek sasniegts un personas dati būtu dzēšami, ja vien uz pārzini nav attiecināmi tiesību akti, kas nosaka konkrētu personas datu glabāšanas pienākumu (veidojas cits datu apstrādes nolūks).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personas datu glabāšanas termiņu, tas ir jāpamato. Konkrētajā gadījumā, personas datu glabāšanas termiņi attiecībā uz vienreizējām konsultācijām uz ilggadējām konsultācijām varētu atšķirties.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šajā punktā minēto, nepieciešams pārskatīt personas datu glabāšanas termiņu (-s) un tos pamatot, iekļaujot anotācijā atbilstošu detalizētu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22. punktu, izstrādājot anotāciju ir jāņem vērā sagatavotās vadlīnijas un tajā ietvertās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apstrādāt fiziskas personas personas datus (vārdu, uzvārdu, personas kodu, dzimumu, tālruņa numuru, e-pasta adresi, Lauku atbalsta dienesta klienta numuru, nekustamā īpašuma adresi, nekustamā īpašuma kadastra numuru, dzīvesvietas adresi), Inspekcija aicina izstrādāt anotācijas 8.1.13. sadaļu atbilstoši Valsts kancelejas izstrādātajām vadlīnijām “Vadlīnijas tiesību akta projekta sākotnējās ietekmes novērtēšanai un novērtējuma ziņojuma sagatavošanai vienotajā tiesību aktu izstrādes un saskaņošanas portālā”  (https://www.mk.gov.lv/sites/mk/files/media_file/tap_anotacija_vadlinijas.pdf).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11.10.2024.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11.10.2024.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Atzinumi_24-TA-704.docx</dc:title>
</cp:coreProperties>
</file>

<file path=docProps/custom.xml><?xml version="1.0" encoding="utf-8"?>
<Properties xmlns="http://schemas.openxmlformats.org/officeDocument/2006/custom-properties" xmlns:vt="http://schemas.openxmlformats.org/officeDocument/2006/docPropsVTypes"/>
</file>