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iekļautās normas stāsies spēkā ātrāk nekā ir paredzēts sagatavot grozījumus VISC maksas pakalpojumu cenrādī, līdz ar to aicinām izvērtēt, vai grozījumu spēkā stāšanās laiks abos normatīvajos aktos nebūtu savstarpēji jāsalāgo. Ņemot vērā, ka personām būs tiesības lūgt izsniegt izrakstu papīra formā, bet cenrādī šāds maksas pakalpojums vēl nebūs ietverts, VISC šāds izraksts būs jāizsniedz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05.04.2024.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05.04.2024.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Atzinumi_23-TA-3189.docx</dc:title>
</cp:coreProperties>
</file>

<file path=docProps/custom.xml><?xml version="1.0" encoding="utf-8"?>
<Properties xmlns="http://schemas.openxmlformats.org/officeDocument/2006/custom-properties" xmlns:vt="http://schemas.openxmlformats.org/officeDocument/2006/docPropsVTypes"/>
</file>