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"Labklājības jomas IKT platformu attīstība"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Ministru kabineta noteikumiem noformēt atbilstoši Ministru kabineta 2009. gada 3. februāra noteikumu Nr. 108 „Normatīvo aktu projektu sagatavošanas noteikumi” 3.7. apakšnodaļas nosacījumiem. Proti, ievērojot šādu atsauču formu: Ministru kabineta 2009. gada 3. februāra noteikumu Nr. 108 „Normatīvo aktu projektu sagatavošanas noteikumi”, nevis, piemēram, "Ministru kabineta noteikumiem par “DigiSoc” lietošanas kārtību".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ievērot juridiskās tehnikas prasības attiecībā uz to, ka nepieciešamības gadījumā saīsinājumu piesaka pirmajā vietā juridiskajā tekstā, kur lietots attiecīgais normatīvā akta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2. un 7. sadaļu, ņemot vērā, ka tajās abās norāda ietekmējamās mērķgrupas. Anotācijas 2.1. apakšpunktā apraksta ietekmi uz privāto sektoru – t. i., uz visām sabiedrības grupām (fiziskām vai juridiskām personām), bet 7.1. apakšpunktā – uz publisko pārvaldi (valsts un pašvaldību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02.12.2025.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02.12.2025.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