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1.1.1. specifiskā atbalsta mērķa “Pētniecības un inovāciju kapacitātes stiprināšana un progresīvu tehnoloģiju ieviešana kopējā P&amp;A sistēmā” 1.1.1.2. pasākuma “RIS3 pētniecības un inovācijas centri”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vienkāršoto izmaksu piemērošanas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MK noteikumu projekts ir papildināts ar 1.6.punktu par vienkāršotajām izmaksām, ja izziņas 57.punkta IZM ir sniedzis skaidrojumu, ka nav identificētas tādas izmaksas, kuru vienkāršākai uzskaitei būtu lietderīgi izstrādāt tādu vienkāršoto izmaksu metodiku, kas neierobežos projektu mērķu un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Projektu iesniegumos pasākuma īstenošanai kopējo pasākuma pieejamo finansējumu plāno ne vairāk kā 35 770 294 </w:t>
            </w:r>
            <w:r w:rsidR="00000000" w:rsidRPr="00000000" w:rsidDel="00000000">
              <w:rPr>
                <w:i w:val="1"/>
                <w:rtl w:val="0"/>
              </w:rPr>
              <w:t xml:space="preserve">euro</w:t>
            </w:r>
            <w:r w:rsidR="00000000" w:rsidRPr="00000000" w:rsidDel="00000000">
              <w:rPr>
                <w:rtl w:val="0"/>
              </w:rPr>
              <w:t xml:space="preserve"> apmērā, ko veido ERAF finansējums – 30 404 749 </w:t>
            </w:r>
            <w:r w:rsidR="00000000" w:rsidRPr="00000000" w:rsidDel="00000000">
              <w:rPr>
                <w:i w:val="1"/>
                <w:rtl w:val="0"/>
              </w:rPr>
              <w:t xml:space="preserve">euro</w:t>
            </w:r>
            <w:r w:rsidR="00000000" w:rsidRPr="00000000" w:rsidDel="00000000">
              <w:rPr>
                <w:rtl w:val="0"/>
              </w:rPr>
              <w:t xml:space="preserve"> apmērā un valsts budžeta līdzfinansējums – 5 365 545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neoficiāli iesūtītos  precizējumus MK noteikumu projekta 18.punkta apakšpunktos un 19.punkta apakšpunktos, aicinām attiecīgi precizēt arī MK noteikumu projekta 7.punktā norādīto kopējo pasākumam pieejamā finansējuma apmēru, kā arī atbilstoši precizēt anotācijas 3.sadaļas 6.2.apakšpunktā norādīto finansējuma apmēru 2025.gadam.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Katram projekta iesniedzējam un sadarbības partnerim ar saimniecisku darbību nesaistīta projekta gadījumā plānotais kopējais attiecināmais finansējums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šobrīd pasākuma MK noteikumu ietvaros (MKN 18.punkts) neizdalīt plānoto, t.sk. elastības, finansējumu finansējuma saņēmēju līmenī, ņemot vērā to, ka par elastības finansējumu vēl tiks pieņemti politiski lēmumi. Š.g. 31.oktobrī ES fondu tematiskā komitejas ministru sēdē tika konceptuāli atbalstīts FM priekšlikums līdz 70% (458 milj. EUR) no visa elastības finansējuma novirzīt valdības būtiskākajām investīciju prioritātēm, savukārt 30% - (196 milj. EUR) saglabāt iepriekš indikatīvi iezīmētajiem mērķiem. Elastības finansējums var tikt ieplānots šī pasākuma ietvaros tikai tajā gadījumā, ja IZM apliecina, ka no šī pasākuma elastības finansējums netiks novirzīts vienai no valdības būtiskākajām investīciju prioritātēm- kiberdrošībai, un norādīs avotu, no kura tas tiks novirzīts.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Latvijas Biozinātņu un tehnoloģiju universitātei – 2 968 639 </w:t>
            </w:r>
            <w:r w:rsidR="00000000" w:rsidRPr="00000000" w:rsidDel="00000000">
              <w:rPr>
                <w:i w:val="1"/>
                <w:rtl w:val="0"/>
              </w:rPr>
              <w:t xml:space="preserve">euro, </w:t>
            </w:r>
            <w:r w:rsidR="00000000" w:rsidRPr="00000000" w:rsidDel="00000000">
              <w:rPr>
                <w:rtl w:val="0"/>
              </w:rPr>
              <w:t xml:space="preserve">tostarp</w:t>
            </w:r>
            <w:r w:rsidR="00000000" w:rsidRPr="00000000" w:rsidDel="00000000">
              <w:rPr>
                <w:i w:val="1"/>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Ministru kabineta noteikumu projekta 18.3., 18.5., 19.3. un 19.5.apakšpunktā neveidojas korekta kopsumma, summējot finansējumu pa apakšpunktiem. Līdz ar to lūdzam precizēt informāciju vai skaidrot anotācijā neprecizitāti.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projekta iesniedzējs ne vēlāk ka 30 darbdienu laikā pēc šo noteikumu spēkā stāšanās iesniedz Izglītības un zinātnes ministrijā saskaņošanai projektā paredzētās pētniecības infrastruktūras attīstības plānu, kurā tai skaitā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finansējuma saņēmējiem, izstrādājot pētniecības infrastruktūras attīstības plānu, noteikt prasību ietvert ari Latvijas industrijas attīstības vajadzību pārskatu zinātniskās darbības jomā, lai stimulētu to, ka iegādātā zinātniskā .infrastruktūra cita starpā radītu/apmierinātu pieprasījumu pēc pakalpojumiem papildinošas saimnieciskas darbības ierobežojumu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projekta iesniedzējs ne vēlāk ka 30 darbdienu laikā pēc šo noteikumu spēkā stāšanās iesniedz Izglītības un zinātnes ministrijā saskaņošanai projektā paredzētās pētniecības infrastruktūras attīstības plānu, kurā tai skaitā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pētniecības infrastruktūras attīstības plāna izstrādei izvirzītās prasības kopumā nerada pārliecību: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un kā augstākminētais plāns kopumā veicinās unikālas zinātniskās infrastruktūras izveidi (a) Baltijas valstu/ Baltijas jūras reģiona un /vai (b) ES līmenī, kas nākotnē radītu Latvijas zinātnisko institūciju konkurētspējas priekšrocības un </w:t>
            </w:r>
            <w:r w:rsidR="00000000" w:rsidRPr="00000000" w:rsidDel="00000000">
              <w:rPr>
                <w:rtl w:val="0"/>
              </w:rPr>
              <w:t xml:space="preserve">radītu labu priekšnosacījumus  sadarbības iespējām. Šiem aspektiem, mūsuprāt, būtu jābūt vismaz no zinātnisko institūciju puses izvērtētiem vismaz attiecībā uz lielāka apmēra zinātniskās.infrastruktura.atbalsta projektiem, piemēram, projekti virs 2; 3 vai 5 +milj.eur projekti, vai analogi kā par prasību par IIA projektiem, kas pārsniedz 1 milj eur. Lūdzam IZM ar augstākminētā aspekta izvērtēšanas prasību papildināt 27.6.punkta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tiks nodrošināt, ka pasākuma ietvaros netiks atbalstītas investīcijas tādas zinātniskās infrastruktūras iegādei, kurai tiek plānota nepieņemami zemā noslodze &lt;20 % no maksimālās kapacitātes. Nacionālās nozīmes pētniecības infrastruktūras kartējuma secinājumi (FIDEA, 2023), kas norāda uz neefektīvu ESIF investīciju ieguldījumu veikšanu, cita starpā akcentē, ka 16% no infrastruktūras tiek noslogota tikai par 0-10%. Lūdzam IZM šādu nosacījumu iestrādāt MK noteikumu projektā un/vai nodrošināt, ka šāds aspekts tiku izvērtēts pētniecības infrastruktūras attīstības plāna izvērtēšanas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27.6.1. uzskaitīta visa projektā iegādājamā pētniecības infrastruktūra, kuras iegāde pārsniedz 100 000 </w:t>
            </w:r>
            <w:r w:rsidR="00000000" w:rsidRPr="00000000" w:rsidDel="00000000">
              <w:rPr>
                <w:i w:val="1"/>
                <w:rtl w:val="0"/>
              </w:rPr>
              <w:t xml:space="preserve">euro</w:t>
            </w:r>
            <w:r w:rsidR="00000000" w:rsidRPr="00000000" w:rsidDel="00000000">
              <w:rPr>
                <w:rtl w:val="0"/>
              </w:rPr>
              <w:t xml:space="preserve"> vai 10 procentus no projekta kopsummas;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precīzāk definēt, kas ir domāts ar frāzi "projekta kopsumma" - attiecināmo izmaksu summa vai projekta kopējā summa ietverot ārpus projekta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27.7. šo noteikumu </w:t>
            </w:r>
            <w:r w:rsidR="00000000" w:rsidRPr="00000000" w:rsidDel="00000000">
              <w:rPr>
                <w:rtl w:val="0"/>
              </w:rPr>
              <w:t xml:space="preserve">29.2.2. </w:t>
            </w:r>
            <w:r w:rsidR="00000000" w:rsidRPr="00000000" w:rsidDel="00000000">
              <w:rPr>
                <w:rtl w:val="0"/>
              </w:rPr>
              <w:t xml:space="preserve">apakšpunkt</w:t>
            </w:r>
            <w:r w:rsidR="00000000" w:rsidRPr="00000000" w:rsidDel="00000000">
              <w:rPr>
                <w:rtl w:val="0"/>
              </w:rPr>
              <w:t xml:space="preserve">ā minētā kombinēta atbalsta projekta gadījumā, projekta iesniedzējs un sadarbības partneris nav grūtībās nonācis saimnieciskās darbības veicējs atbilstoši regulas Nr. 651/2014 2. panta 18. punktā noteiktajai definīcijai. Projekta iesniedzējam un sadarbības partnerim jāapliecina atbilstība Regulas Nr. 651/2014 2. panta 18. punkta "c"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ar aicinājumu papildināt noteikumu projektu ar normu, ka projekta iesniedzēja un sadarbības partnera atbilstība Komisijas regulas Nr.651/2014 2.panta 18.punkta nosacījumiem un Komisijas regulas Nr.651/2014 1.panta 4.punkta a) apakšpunkta nosacījumiem ir pārbaudāma uzņēmuma grupas līmenī. Attiecīgi lūdzam papildināt noteikumu 27.7. un 27.8.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Izglītības un zinātnes ministrija, izvērtējot </w:t>
            </w:r>
            <w:r w:rsidR="00000000" w:rsidRPr="00000000" w:rsidDel="00000000">
              <w:rPr>
                <w:rtl w:val="0"/>
              </w:rPr>
              <w:t xml:space="preserve">27.6. </w:t>
            </w:r>
            <w:r w:rsidR="00000000" w:rsidRPr="00000000" w:rsidDel="00000000">
              <w:rPr>
                <w:rtl w:val="0"/>
              </w:rPr>
              <w:t xml:space="preserve">apakšpunktā</w:t>
            </w:r>
            <w:r w:rsidR="00000000" w:rsidRPr="00000000" w:rsidDel="00000000">
              <w:rPr>
                <w:rtl w:val="0"/>
              </w:rPr>
              <w:t xml:space="preserve"> minēto pētniecības infrastruktūras attīstības plānu, secina, ka to nepieciešams precizēt, Izglītības un zinātnes ministrija informē projekta iesniedzēju par nepieciešamajiem precizējumiem un atkārtota pētniecības infrastruktūras attīstības plāna iesniegšanas kārtību un termiņiem.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28. punktu, ņemot vērā, ka saskaņā ar noteikumu projekta 25. punktu Izglītības un zinātnes ministrija kā nozares ministrija izveido </w:t>
            </w:r>
            <w:r w:rsidR="00000000" w:rsidRPr="00000000" w:rsidDel="00000000">
              <w:rPr>
                <w:u w:val="single"/>
                <w:rtl w:val="0"/>
              </w:rPr>
              <w:t xml:space="preserve">pētniecības infrastruktūras attīstības plānu izvērtēšanas komisiju</w:t>
            </w:r>
            <w:r w:rsidR="00000000" w:rsidRPr="00000000" w:rsidDel="00000000">
              <w:rPr>
                <w:rtl w:val="0"/>
              </w:rPr>
              <w:t xml:space="preserve">, proti, Izglītības un zinātnes ministrija vienpersoniski neizvērtē pētniecības infrastruktūras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projekta komunikācijas un vizuālās identitātes prasību, tai skaitā minimālās stratēģiski svarīgo projektu komunikācijas pasākumu, nodrošināšanas izmaksas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—Regula Nr.  2021/1060) 47. un 50. pantu un atbilstoši normatīvajiem aktiem par kārtību, kādā Eiropas Savienības fondu vadībā iesaistītās institūcijas nodrošina šo fondu ieviešanu 2021.–2027. gada plānošanas periodā šo noteikumu </w:t>
            </w:r>
            <w:r w:rsidR="00000000" w:rsidRPr="00000000" w:rsidDel="00000000">
              <w:rPr>
                <w:rtl w:val="0"/>
              </w:rPr>
              <w:t xml:space="preserve">32.3. </w:t>
            </w:r>
            <w:r w:rsidR="00000000" w:rsidRPr="00000000" w:rsidDel="00000000">
              <w:rPr>
                <w:rtl w:val="0"/>
              </w:rPr>
              <w:t xml:space="preserve">apakšpunktā</w:t>
            </w:r>
            <w:r w:rsidR="00000000" w:rsidRPr="00000000" w:rsidDel="00000000">
              <w:rPr>
                <w:rtl w:val="0"/>
              </w:rPr>
              <w:t xml:space="preserve"> minētās atbalstāmās darbības īstenošanai. Ja projektam sniegtais atbalsts ir uzskatāms par komercdarbības atbalstu, komunikācijas un publicitātes izmaksas var būt attiecināmas projekta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35.2. apakšpunkta pēdējā teikuma "</w:t>
            </w:r>
            <w:r w:rsidR="00000000" w:rsidRPr="00000000" w:rsidDel="00000000">
              <w:rPr>
                <w:i w:val="1"/>
                <w:rtl w:val="0"/>
              </w:rPr>
              <w:t xml:space="preserve">Ja projektam sniegtais atbalsts ir uzskatāms par komercdarbības atbalstu, komunikācijas un publicitātes izmaksas var būt attiecināmas projekta ietvaros.</w:t>
            </w:r>
            <w:r w:rsidR="00000000" w:rsidRPr="00000000" w:rsidDel="00000000">
              <w:rPr>
                <w:rtl w:val="0"/>
              </w:rPr>
              <w:t xml:space="preserve">" būtību un mērķi vai svītrot minēto teikumu, ņemot vērā, ka no 35.2. apakšpunkta kontekstā ar 35. punkta ievaddaļu izriet, ka komunikācijas un vizuālās identitātes prasību nodrošināšanas izmaksas ir projekta tiešās 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minētais teikums tiek saglabāts, lūdzam aizstāt tajā vārdu "publicitātes" ar vārdiem "vizuālās identitātes prasību nodrošināšanas", lai salāgotu ar 35.2. apakšpunkta sākumā lietoto terminoloģiju un nodrošinātu atbilstību Eiropas Savienības fondus regulējošajiem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salāgot anotācijā un noteikumu projektā iekļauto informāciju, piemēram, anotācijas 1.3. sadaļas apakšsadaļā "Risinājuma apraksts" norādīts, ka komunikācijas un vizuālās identitātes nosacījumu ievērošanu nodrošina gan finansējuma saņēmējs, gan sadarbības partneris, savukārt no noteikumu projekta 40.2. apakšpunkta izriet, ka minētās prasības nodrošina tikai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projekta komunikācijas un vizuālās identitātes prasību, tai skaitā minimālās stratēģiski svarīgo projektu komunikācijas pasākumu, nodrošināšanas izmaksas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—Regula Nr.  2021/1060) 47. un 50. pantu un atbilstoši normatīvajiem aktiem par kārtību, kādā Eiropas Savienības fondu vadībā iesaistītās institūcijas nodrošina šo fondu ieviešanu 2021.–2027. gada plānošanas periodā šo noteikumu </w:t>
            </w:r>
            <w:r w:rsidR="00000000" w:rsidRPr="00000000" w:rsidDel="00000000">
              <w:rPr>
                <w:rtl w:val="0"/>
              </w:rPr>
              <w:t xml:space="preserve">32.3. </w:t>
            </w:r>
            <w:r w:rsidR="00000000" w:rsidRPr="00000000" w:rsidDel="00000000">
              <w:rPr>
                <w:rtl w:val="0"/>
              </w:rPr>
              <w:t xml:space="preserve">apakšpunktā</w:t>
            </w:r>
            <w:r w:rsidR="00000000" w:rsidRPr="00000000" w:rsidDel="00000000">
              <w:rPr>
                <w:rtl w:val="0"/>
              </w:rPr>
              <w:t xml:space="preserve"> minētās atbalstāmās darbības īstenošanai. Ja projektam sniegtais atbalsts ir uzskatāms par komercdarbības atbalstu, komunikācijas un publicitātes izmaksas var būt attiecināmas projekta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komunikācijas un vizuālās identitātes prasības izriet no Eiropas Savienības fondu prasībām, publiskā finansējuma piešķiršana tam nekvalificējas kā komercdarbības atbalsts. Attiecīgi lūdzam precizēt noteikumu 35.2. apakšpunktu, papildinot ar vārdiem "publiskā finansējuma piešķiršana tam nekvalificējas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35.4.2. projekta vadības personāla atlīdzības izmaksām tiek plānots finansējums līdz 84 787 </w:t>
            </w:r>
            <w:r w:rsidR="00000000" w:rsidRPr="00000000" w:rsidDel="00000000">
              <w:rPr>
                <w:i w:val="1"/>
                <w:rtl w:val="0"/>
              </w:rPr>
              <w:t xml:space="preserve">euro</w:t>
            </w:r>
            <w:r w:rsidR="00000000" w:rsidRPr="00000000" w:rsidDel="00000000">
              <w:rPr>
                <w:rtl w:val="0"/>
              </w:rPr>
              <w:t xml:space="preserve"> kalendārajā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atlasē tiks iesniegti projekti ar attiecināmajām izmaksām zem un virs 5 milj. euro, ierosinām noteikt tiešajām projekta vadības personāla izmaksām ierobežojumu saskaņā ar vadlīnijām "Vadlīnijas attiecināmo izmaksu noteikšanai Eiropas Savienības kohēzijas politikas programmas 2021.-2027.gada plānošanas periodā" projektiem ar tiešajām attiecināmajām izmaksām virs 5 milj. euro personāla izmaksu ES fondu daļas ierobežojums tiek noteikts kā fiksēta summa līdz 84 787 EUR kalendārajā gadā. Savukārt projektos, kuros tiešās attiecināmās izmaksas ir līdz 5 milj. euro (ieskaitot), ierobežojums tiek aprēķināts pie minimālo izmaksu bāzes 34 422 EUR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 sniedzot atbilstošu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 projekta vadības personāla atlīdzības izmaksas (izņemot virsstundas), ievērojot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35.4.1. finansējuma saņēmējs nodrošina, ka projekta vadības personāls uz darba līguma pamata ir nodarbināts projektā normālo darba laiku vai nepilnu darba laiku ne mazāk kā 30 procentu apmērā no normālā darba laika, attiecīgi veicot projekta vadības personāla darba laika uzskaiti par veiktajām funkcijām un nostrādāto laiku. Ja personāla iesaiste projektā ir nodrošināta saskaņā ar daļlaika attiecināmības principu, attiecināma ir ne mazāk kā 30 procentu noslodze;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35.4.2. projekta vadības personāla atlīdzības izmaksām ES fondu daļai tiek plānots finansējums līdz 84 787 euro kalendārajā gadā, ja projekta summa tiešajām attiecināmajām izmaksām virs 5 000 000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35.4.3.  projektiem, kuros tiešās attiecināmās izmaksas ir līdz 5 000 000 euro (ieskaitot), projekta vadības personāla atlīdzības izmaksas ES fondu daļai tiek aprēķināts pie minimālo izmaksu bāzes 34 422 EUR kalendārajā gadā, pieskaitot 0,64% no projekta tiešajām attiecināmajām izmaksām, neieskaitot tiešās projekta vadības personāla izmaksas, un summu reizinot ar projekta ilgumu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35.4.4. Ja projekts ilgst mazāk par gadu vai nepilnos kalendārajos gados, ierobežojums tiek aprēķināts proporcionāli projekta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35.4.2. projekta vadības personāla atlīdzības izmaksām tiek plānots finansējums līdz 84 787 </w:t>
            </w:r>
            <w:r w:rsidR="00000000" w:rsidRPr="00000000" w:rsidDel="00000000">
              <w:rPr>
                <w:i w:val="1"/>
                <w:rtl w:val="0"/>
              </w:rPr>
              <w:t xml:space="preserve">euro</w:t>
            </w:r>
            <w:r w:rsidR="00000000" w:rsidRPr="00000000" w:rsidDel="00000000">
              <w:rPr>
                <w:rtl w:val="0"/>
              </w:rPr>
              <w:t xml:space="preserve"> kalendārajā gadā.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atlasē tiks iesniegti projekti ar attiecināmajām izmaksām zem un virs 5 milj. euro, ierosinām noteikt tiešajām projekta vadības personāla izmaksām ierobežojumu saskaņā ar vadlīnijām "Vadlīnijas attiecināmo izmaksu noteikšanai Eiropas Savienības kohēzijas politikas programmas 2021.-2027.gada plānošanas periodā" projektiem ar tiešajām attiecināmajām izmaksām virs 5 milj. euro personāla izmaksu ES fondu daļas ierobežojums tiek noteikts kā fiksēta summa līdz 84 787 EUR kalendārajā gadā. Savukārt projektos, kuros tiešās attiecināmās izmaksas ir līdz 5 milj. euro (ieskaitot), ierobežojums tiek aprēķināts pie minimālo izmaksu bāzes 34 422 EUR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 sniedzot atbilstošu skaidrojumu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pēc vienošanās par projekta īstenošanu noslēgšanas ar sadarbības iestādi, ja īsteno ar saimniecisko darbību saistītu kombinēta atbalsta projekta daļu, izņemot šo noteikumu </w:t>
            </w:r>
            <w:r w:rsidR="00000000" w:rsidRPr="00000000" w:rsidDel="00000000">
              <w:rPr>
                <w:rtl w:val="0"/>
              </w:rPr>
              <w:t xml:space="preserve">32.1. </w:t>
            </w:r>
            <w:r w:rsidR="00000000" w:rsidRPr="00000000" w:rsidDel="00000000">
              <w:rPr>
                <w:rtl w:val="0"/>
              </w:rPr>
              <w:t xml:space="preserve">apakšpunktā</w:t>
            </w:r>
            <w:r w:rsidR="00000000" w:rsidRPr="00000000" w:rsidDel="00000000">
              <w:rPr>
                <w:rtl w:val="0"/>
              </w:rPr>
              <w:t xml:space="preserve"> minētās tehniskās priekšizpētes ietvaros atbalstāmās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punktu salāgot ar 46.2.punktu, kas ļauj uzsākt projekta darbību īstenošanu pēc projekta iesnieguma iesniegšanas sadarbības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pēc vienošanās par projekta īstenošanu noslēgšanas ar sadarbības iestādi, ja īsteno ar saimniecisko darbību saistītu kombinēta atbalsta projekta daļu, izņemot šo noteikumu </w:t>
            </w:r>
            <w:r w:rsidR="00000000" w:rsidRPr="00000000" w:rsidDel="00000000">
              <w:rPr>
                <w:rtl w:val="0"/>
              </w:rPr>
              <w:t xml:space="preserve">32.1. </w:t>
            </w:r>
            <w:r w:rsidR="00000000" w:rsidRPr="00000000" w:rsidDel="00000000">
              <w:rPr>
                <w:rtl w:val="0"/>
              </w:rPr>
              <w:t xml:space="preserve">apakšpunktā</w:t>
            </w:r>
            <w:r w:rsidR="00000000" w:rsidRPr="00000000" w:rsidDel="00000000">
              <w:rPr>
                <w:rtl w:val="0"/>
              </w:rPr>
              <w:t xml:space="preserve"> minētās tehniskās priekšizpētes ietvaros atbalstāmās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izmaksu attiecināmības termiņu ,gadījumos, ja īsteno ar saimniecisko darbību saistītu kombinētā atbalsta projekta daļu, nosakot, ka izmaksas ir attiecināmas ar projekta iesnieguma iesniegšanas brīdi sadarbības iestādē, veicinot N=3 mērķu sasniegšanu un mazinot birokrātisko slogu. Gadījumā, ja tiek saglabāts nosacījums, ka izmaksas tiek attiecinātas no vienošanās par projekta īstenošanu noslēgšanas brīža, sniegt skaidrojumu Anotācijā par šāda nosacījuma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Projektu īsteno saskaņā ar vienošanos par projekta īstenošanu, kas noslēgta starp finansējuma saņēmēju un sadarbības iestādi, bet ne ilgāk kā līdz 2029. gada 30. novembrim.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salāgot informāciju ar MK noteikumu 9. punktu  nosakot, ka arī projektu īsteno līdz 2029. 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projekta īstenošanas gaitā radušās sadārdzinājuma izmaksas finansējuma saņēmējs sedz no saviem līdzekļiem, kas brīvi no jebkāda komercdarbības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40.1.apakšpunktu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 projekta īstenošanas gaitā radušās sadārdzinājuma izmaksas finansējuma saņēmējs sedz no saviem līdzekļiem, tam pieejamā finansējuma ietvaros , kas brīvi no jebkāda komercdarbības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pasākuma ietvaros īstenotais ar saimniecisko darbību nesaistītais projekts kļūst par projektu, kurš ir saistīts ar saimniecisko darbību un kuram piešķirtais atbalsts kvalificējas kā komercdarbības atbalsts, finansējuma saņēmējam vai sadarbības partnerim ir pienākums atmaksāt sadarbības iestādei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42.punkts dublē noteikumu 54.punkta daļu, lūdzam pārskatīt un precizēt šos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Sadarbības iestāde saskaņā ar atbildīgās iestādes līdz projekta īstenošanas izstrādāto papildinošas saimnieciskās darbības uzraudzības metodiku, nodrošina veikto investīciju atbilstības uzraudzību visā projekta dzīves ciklā. Finansējuma saņēmējs visā projekta dzīves ciklā ik gadu sagatavo pārskatu par papildinošas saimnieciskās darbības apjomu un nodrošina šajā punktā minēto pārskatu un aprēķinus pamatojošo dokumentu pieejamību papildinošas saimnieciskās darbības uzraudzībai. Ja finansējuma saņēmējs konstatē, ka ir pārsniegts 20 procentu ierobežojums no infrastruktūras gada jaudas laika vai finanšu izteiksmē vai ka veiktās investīcijas tiek izmantotas citai saimnieciskai darbībai, kas nav uzskatāma par papildinošu saimniecisku darbību, tas saskaņā ar vienošanos par projekta īstenošanu noteiktajā termiņā iesniedz sadarbības iestādē ziņojumu par konstatēto pārkāpumu.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redakcionāli pārskatīt šī punkta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ar saimniecisku darbību saistītajai projekta daļai, kuras ietvaros plānotos ieguldījumus paredzēts izmantot finansējuma saņēmēja vai sadarbības partnera saimnieciskajā pamatdarbībā, piemēro ieguldījumu atbalstu pētniecības infrastruktūrai, kuru piešķir saskaņā ar Regulas Nr. 651/2014 26.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Nr.65/2014 26.panta 7.punktā minēto, lūdzam papildināt noteikumus ar normu, kas nosaka atbildīgo institūciju par uzraudzības un atgūšanas mehānisma izveidošanu, lai nodrošinātu, ka gadījumā, ja saimnieciskās darbības īpatsvars ir lielāks salīdzinājumā ar situāciju, kas prognozēta atbalsta piešķiršanas laikā, netiek pārsniegta piemērojamā atbalsta intensitāte.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Sadarbības iestāde ir atbildīgā iestāde par komercdarbības atbalsta nosacījumu kombinētajos projektos (daļa, kas saistīta ar saimniecisku darbību) vai komercdarbības atbalsta izslēdzošo nosacījumu ar saimniecisku darbību nesaistītos projektos nosacījumu ievērošanas uzraudzību projekta īstenošanas laikā un pēcuzraudzības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komercdarbības atbalsta nosacījumu kombinētajos projektos (daļa, kas saistīta ar saimniecisku darbību) vai komercdarbības atbalsta izslēdzošo nosacījumu ar saimniecisku darbību nesaistītos projektos nosacījumu ievērošanas uzraudzību ir jāveic visu ieguldījumu amortizācija periodu jeb projekta dzīves ciklā, lūdzam precizēt noteikumu 55.punktu.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2.pielikums "Kombinēta atbalsta veida projekta, finansējuma saņēmēja un sadarbības partnera daļas vidējās svērtās publiskā finansējuma intensitātes aprēķināšanas metodika"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 pielikums nav precizēts atbilstoši iepriekš izteiktajam iebildumam, kurā Finanšu ministrija lūdza skaidrot, kas ir saprotams ar noteikumu projekta 2. pielikumā minēto apakšprojektu, ņemot vērā, ka Eiropas Savienības fondus regulējošajos normatīvajos aktos šāds jēdziens netiek lietots. Uzturam minēto iebildumu un lūdzam izvērtēt un atbilstoši precizēt noteikumu projekta 2.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noteikumu projekta 2. pielikumu, ņemot vērā, ka tajā ietvertās atsauces uz noteikumu projekta pielikumiem un to punktiem, tajos ietvertajiem regulējumiem nav korektas, tostarp noteikumu projektam nav paredzēts 3. pielikums. Līdztekus vēršam uzmanību, ka atsevišķās noteikumu projekta 2. pielikuma vietās pievienotas hipersaites, kas aizved uz www.likumi.lv tīmekļa vietnē pieejamajiem Ministru kabineta 2016. gada 16. augusta noteikumiem Nr. 562 "Darbības programmas "Izaugsme un nodarbinātība" 1.1.1. specifiskā atbalsta mērķa "Palielināt Latvijas zinātnisko institūciju pētniecisko un inovatīvo kapacitāti un spēju piesaistīt ārējo finansējumu, ieguldot cilvēkresursos un infrastruktūrā" 1.1.1.4. pasākuma "P&amp;A infrastruktūras attīstīšana viedās specializācijas jomās un zinātnisko institūciju institucionālās kapacitātes stiprināšana"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lūdzam pārskatīt noteikumu projekta 2. pielikumā lietoto terminoloģiju un pēc nepieciešamības salāgot to ar noteikumu projektā lietoto, piemēram, ievērojot, ka noteikumu projekta 32.4. apakšpunktā svītroti vārdi "un īstenošana", savukārt 2. pielikuma 6.1.3.5. apakšpunktā un 2. tabulā tie saglabāti.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sadaļā "Pašreizējā situācija", kur minēta atsauce uz 2023. gadā “Fidea” veikto Latvijas pētniecības infrastruktūras kartējuma konstatējumu, ka kopumā no Latvijas pētniecības infrastruktūras tikai 30% aprīkojuma ir uzskatāmas par unikālu Baltijā, bet tikai 10% – par unikālu Eiropā,  papildināt ar īsu informāciju  par jomām un/ vai zinātniskajām institūcijām, kurās Latvijai ir unikāla zinātnes infrastruktūra Baltijā un Eiropā (labās prakses piemēri par līdz šim veiktajiem ieguldījumiem).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kādēļ paredzēta šāda sadarbības iestādes rīcība (skatīt citēto rindkopu), norādot atsauces uz konkrētiem normatīvajiem aktiem:</w:t>
            </w:r>
            <w:r w:rsidR="00000000" w:rsidRPr="00000000" w:rsidDel="00000000">
              <w:rPr>
                <w:i w:val="1"/>
                <w:rtl w:val="0"/>
              </w:rPr>
              <w:t xml:space="preserve"> "Lai ar saimniecisku darbību saistītajos projektos kontrolētu vidējo svērto intensitāti un ar saimniecisku darbību nesaistītajos projektos kontrolētu ierobežotas jomas darbības procentuālo ierobežojumu ievērošanu, kā arī, lai gūtu pārliecību vai nav gūti ar projektu un tā rezultātu izmantošanu saistīti ieņēmumi, projekta īstenošanas laikā sadarbības iestāde, veicot projekta pārbaudi projekta īstenošanas vietā vai izskatot noslēguma maksājuma pieprasījumu, pārbaudīs kontu apgrozījuma pārskatus."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kombinētajos projektos vidējo svērto intensitāti būtu jākontrolē dzīves cikla beigās, savukārt, nesaimnieciskajos projektos ir jākontrolē PSD apjoms, bet jebkurš PSD faktiski arī nozīmē papildus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šo rindkopu pārskatīt un salāgot ar PSD un vidējās svērtās intensitātes kontroles nosacījumiem, norādot, ka tos noteiks atbildīgās iestādes izstrādātajā metodikā.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Anotācijā sniegto informāciju par zinātniskās infrastruktūras attīstības plāna izstrādi ar MK noteikumiem, papildinot ka izstrādāto zinātniskās infrastruktūras attīstības plānu mēneša laikā pēc MK noteikumu stāšanās spēkā iesniedz IZM atbilstoši MK noteikumu 27.6. punkta nosacījumiem.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  pētniecības infrastruktūras attīstības pamatošanai izstrādājamā sociāli ekonomiskā analīze, kas pamato ekonomisko ietekmi un ieguldījumu tehnoloģiju pārneses atbalstam un zināšanu pārnesei uz tautsaimniecību, tiek saprasts kā atsevišķi izstrādājams dokuments vai kā daļa no izstrādājamās Izmaksu un ieguvumu analīzes.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“Tiesību akta projekta ietekme uz valsts budžetu un pašvaldību budžetiem” 6.2.apakšpunktā norādīto valsts budžeta līdzfinansējuma apmēru 2025.gadā ar minētās sadaļas 3. kolonnas 3.punktā, 3.1.apakšpunktā, 5.punktā un 5.1.apakšpunktā norādīto finansiālo vērtību (novirze 1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24-TA-1719</w:t>
    </w:r>
    <w:r>
      <w:br/>
    </w:r>
    <w:r w:rsidR="00000000" w:rsidRPr="00000000" w:rsidDel="00000000">
      <w:rPr>
        <w:rtl w:val="0"/>
      </w:rPr>
      <w:t xml:space="preserve">Izdrukāts 26.11.2024.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24-TA-1719</w:t>
    </w:r>
    <w:r>
      <w:br/>
    </w:r>
    <w:r w:rsidR="00000000" w:rsidRPr="00000000" w:rsidDel="00000000">
      <w:rPr>
        <w:rtl w:val="0"/>
      </w:rPr>
      <w:t xml:space="preserve">Izdrukāts 26.11.2024.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Atzinumi_24-TA-1719.docx</dc:title>
</cp:coreProperties>
</file>

<file path=docProps/custom.xml><?xml version="1.0" encoding="utf-8"?>
<Properties xmlns="http://schemas.openxmlformats.org/officeDocument/2006/custom-properties" xmlns:vt="http://schemas.openxmlformats.org/officeDocument/2006/docPropsVTypes"/>
</file>