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 janvāra noteikumos Nr. 17 "Pievienotās vērtības nodokļa likuma normu piemērošanas kārtība un atsevišķas prasības pievienotās vērtības nodokļa maksāšanai un administrēšanai"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APTIEKA"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3. janvāra noteikumos Nr. 17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rosinātos grozījumus jāsecina, ka tie rada neskaidrības, interpretācijas iespējas, kā arī papildus administratīvo slogu un, kas būtiski, tiešus un nenovēršamus papildus izdevumus negūtā priekšnodokļa apmērā aptiekām, kas ir klajā pretrunā ar Veselības ministrijas publiski pausto informāciju, ka no 2025. gada 1. janvāra zāļu cenu reformas rezultātā palielināsies aptieku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grozījumus piedāvātajā redakcijā, un nosakot farmaceitisko aprūpi kā ar PVN neapliekamu darījumu, nevis darījumu ar samazinātu PVN likmi (0% apmērā), aptiekām nebūs iespējams atskaitīt priekšnodokli pilnā apmērā - priekšnodokli varēs atskaitīt tikai daļēji un/vai noteiktā proporcijā atbilstoši PVN likuma 98.panta pirmajai daļai, vai šī paša panta otrajai daļai. Uzskatām, ka grozījumi palielinās administratīvo slogu grāmatvedības uzskaites veikšanā lai spētu nodalīt tās preces un pakalpojumus, kas iegādāti, lai sniegtu farmaceitisko aprūpi, no tādām precēm un pakalpojumiem, kas nav nepieciešami, lai šo aprūpi sniegtu, un, kā sekas, tas palielinās arī administratīvās izmaksas, ne tikai jau iepriekš pieminētos izdevumus negūtā priekšnodokļa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nav skaidra PVN likuma 98.panta otrajā daļā noteiktā neatskaitāmā priekšnodokļa  summas aprēķināšanas pieeja kontekstā ar Ministru Kabineta noteikumu Nr. 803 "Noteikumi par zāļu cenu veidošanas principiem”, kas stājas spēka no 01.01.2025. Esošie normatīvie akti pieļauj interpretāciju par to, kādas preces un/vai pakalpojumi ir uzskatāmi par tādiem, kas tiek izmantoti, lai veiktu farmaceitisko aprūpi un kādi 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 farmaceitisko aprūpi attiecināt samazināto PVN likmi nulle % apmērā vai arī, atstājot regulējumu, ka attiecībā uz farmaceitisko aprūpi netiek piemērots pievienotās vērtības nodoklis, noteikt, ka priekšnodokļa proporcija PVN likuma izpratnē aprēķinos nav jāpiemēro.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Alvis Ērglis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22.11.2024.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22.11.2024.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Atzinumi_24-TA-1498.docx</dc:title>
</cp:coreProperties>
</file>

<file path=docProps/custom.xml><?xml version="1.0" encoding="utf-8"?>
<Properties xmlns="http://schemas.openxmlformats.org/officeDocument/2006/custom-properties" xmlns:vt="http://schemas.openxmlformats.org/officeDocument/2006/docPropsVTypes"/>
</file>