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par doktoranta nodarbinātību, darba līguma noslēgšanu un izbeigšanu un kārtība, kādā aprēķina atlīdzību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iekļauto normu finansēšanai nav pieejams stabils papildus finansēšanas avots, jo IZM papildus finansējuma pieprasījums prioritārajiem pasākumiem doktorantūras finansēšanas modeļa ieviešanai netika atbalstīts, bet šim mācību gadam IZM novirzītais finansējums ir vienreizējs, vēršam uzmanību, ka sākot ar 2025./2026.mācību gadu, ja IZM nevarēs atrast nepieciešamo finansējumu lai izpildītu Augstskolu likumā un šo noteikumu projektā iekļautas normas, RSU būs nepieciešams samazināt doktorantūrā uzņemamo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Batare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23.09.2024.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23.09.2024.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Atzinumi_24-TA-1839.docx</dc:title>
</cp:coreProperties>
</file>

<file path=docProps/custom.xml><?xml version="1.0" encoding="utf-8"?>
<Properties xmlns="http://schemas.openxmlformats.org/officeDocument/2006/custom-properties" xmlns:vt="http://schemas.openxmlformats.org/officeDocument/2006/docPropsVTypes"/>
</file>