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 maija noteikumos Nr. 309 "Noteikumi par koku ciršanu ārpus meža"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normatīvajam regulējumam lūdzam svītrot vārdus "apliecinājuma kartē", savukārt vardus "atļauju būvniecībai" aizstāt ar vārdu "būvatļauju". Tāpat atbilstoši Informatīvajam ziņojumam par rīcības plānu administratīvā sloga mazināšanai nekustamo īpašumu attīstīšanas jomā lūdzam noteikumos paredzēt principus koku ciršanas kompensēšanai, papildu kompensācijai naudā paredzēt tiesības veikt citus kompensējošos pasākumus, piemēram iestādīt vietā vai citā vietā citus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koku ciršana nepieciešama derīgo izrakteņu ieguves īstenošanai un derīgo izrakteņu ieguves dokumentācijā ir minēta koku nociršana, zemes dzīļu izmantošanas licence vai bieži sastopamo derīgo izrakteņu ieguves atļauja ir uzskatāma arī par derīgo izrakteņu ieguves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par rīcības plānu administratīvā sloga mazināšanai nekustamo īpašumu attīstīšanas jomā lūdzam noteikumos paredzēt principus koku ciršanas kompensēšanai, papildu kompensācijai naudā paredzēt tiesības veikt citus kompensējošos pasākumus, piemēram iestādīt vietā vai citā vietā citus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zaudējumu atlīdzināšanas.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par rīcības plānu administratīvā sloga mazināšanai nekustamo īpašumu attīstīšanas jomā lūdzam noteikumos paredzēt principus koku ciršanas kompensēšanai, papildu kompensācijai naudā paredzēt tiesības veikt citus kompensējošos pasākumus, piemēram iestādīt vietā vai citā vietā citus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koku ciršanu mežā ietilpstošos pārplūstošos klajumos un laucēs, kā arī mežam piegulošos un tajā ietilpstošos meža infrastruktūras objektos un purvos zemes īpašnieks katru gadu, pirms sākt koku ciršanu, paziņo Valsts meža dienestam. Paziņojumā norāda zemes vienības kadastra apzīmējumu un plānoto ciršanas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 jo tas neatbilst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4.2. un 4.11. apakšpunktā minētajā gadījumā pašvaldība atļauju koku ciršanai ārpus meža izsniedz pēc Dabas aizsardzības pārvaldes atzinuma saņemšanas. Lūdzam pamatot 4.11. apakšpunkta iekļaušanu šajā noteikumu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ieguves īstenošanai,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4.11. apakšpunkta iekļaušanu šajā noteikumu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zemes īpašniekam vai tiesiskajam valdītājam nepieciešama pašvaldības atļauja koku ciršanai ārpus meža, ja kokus cērt: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4.punktu, ņemot vērā, ka 4.2., 4.3., 4.8., 4.9., 4.10. un 4.11. apakšpunktā minētie gadījumi var attiekties arī uz meža zemēm.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apakšpunktā minētajā gadījumā nocērtamo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dotais uzskaitījums būtu papildināms ar vārdu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Aizsargājama koka nociršanai, koku ciršanai aizsargājamos dendroloģiskos stādījumos un aizsargājamo aleju teritorijās, kā arī īpaši aizsargājamās augu sugas koka un kā īpaši aizsargājamas sugas dzīvotnes reģistrēta koka nociršanai nepieciešama Dabas aizsardzības pārvaldes atļauja, kas izsniegta saskaņā ar normatīvajiem aktiem par īpaši aizsargājamām dabas teritorijām un sugu un biotopu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metodi, kā Dabas aizsardzības pārvalde aprēķina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minētajā gadījumā, ja vien koks neatrodas vietējās nozīmes kultūras pieminekļa teritorijā, pašvaldība atļauju koku ciršanai ārpus meža izsniedz pēc Nacionālās kultūras mantojuma pārvaldes atzinuma saņemšanas. Nacionālā kultūras mantojuma pārvalde atzinumu sniedz 10 darbdienu laikā pēc pašvaldības pieprasījuma saņemšanas. Ja 10 darbdienu laikā pēc pieprasījuma iesniegšanas nav saņemti iebildumi no Nacionālās kultūras mantojuma pārvaldes,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atšķirīga noteikumu punkta interpretācija, lūdzam svītrot vārdus "ja vien koks neatrodas vietējās nozīmes kultūras pieminekļa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28.07.2025.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28.07.2025.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Atzinumi_25-TA-358.docx</dc:title>
</cp:coreProperties>
</file>

<file path=docProps/custom.xml><?xml version="1.0" encoding="utf-8"?>
<Properties xmlns="http://schemas.openxmlformats.org/officeDocument/2006/custom-properties" xmlns:vt="http://schemas.openxmlformats.org/officeDocument/2006/docPropsVTypes"/>
</file>