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Lazdu ielā 14, Ventspilī,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(Paskaidrojošiem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"Pašreizējās situācijas aprakstā"</w:t>
            </w:r>
            <w:r w:rsidR="00000000" w:rsidRPr="00000000" w:rsidDel="00000000">
              <w:rPr>
                <w:rtl w:val="0"/>
              </w:rPr>
              <w:t xml:space="preserve"> precizējams zemes vienības (zemes vienības kadastra apzīmējums 2700 016 0425) Lazdu ielā 14, Ventspilī (nekustamā īpašuma kadastra Nr.2700 016 0425) ierakstīšanas zemesgrāmatā datums (2</w:t>
            </w:r>
            <w:r w:rsidR="00000000" w:rsidRPr="00000000" w:rsidDel="00000000">
              <w:rPr>
                <w:u w:val="single"/>
                <w:rtl w:val="0"/>
              </w:rPr>
              <w:t xml:space="preserve">7</w:t>
            </w:r>
            <w:r w:rsidR="00000000" w:rsidRPr="00000000" w:rsidDel="00000000">
              <w:rPr>
                <w:rtl w:val="0"/>
              </w:rPr>
              <w:t xml:space="preserve">.01.2021.).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Tiesību akta lietai pievienotajiem paskaidrojošajiem dokumentiem atsavināmā nekustamā īpašuma sastāvā ietilpstošā būve  (būves kadastra apzīmējums 2700 016 0425 001), ir </w:t>
            </w:r>
            <w:r w:rsidR="00000000" w:rsidRPr="00000000" w:rsidDel="00000000">
              <w:rPr>
                <w:u w:val="single"/>
                <w:rtl w:val="0"/>
              </w:rPr>
              <w:t xml:space="preserve">viendzīvokļa</w:t>
            </w:r>
            <w:r w:rsidR="00000000" w:rsidRPr="00000000" w:rsidDel="00000000">
              <w:rPr>
                <w:rtl w:val="0"/>
              </w:rPr>
              <w:t xml:space="preserve"> māja. Ņemot vērā minēto, aicinām anotācijā skaidrot, vai par  minētās dzīvojamās mājas lietošanu ir noslēgts dzīvojamās telpas īres līgums.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u w:val="single"/>
                <w:rtl w:val="0"/>
              </w:rPr>
              <w:t xml:space="preserve">Pamatojums:</w:t>
            </w:r>
            <w:r w:rsidR="00000000" w:rsidRPr="00000000" w:rsidDel="00000000">
              <w:rPr>
                <w:rtl w:val="0"/>
              </w:rPr>
              <w:t xml:space="preserve"> Publiskas personas mantas atsavināšanas likums 45. panta trešā daļa noteic, ka, atsavinot valsts vai pašvaldības īpašumā esošu </w:t>
            </w:r>
            <w:r w:rsidR="00000000" w:rsidRPr="00000000" w:rsidDel="00000000">
              <w:rPr>
                <w:u w:val="single"/>
                <w:rtl w:val="0"/>
              </w:rPr>
              <w:t xml:space="preserve">viendzīvokļa māju</w:t>
            </w:r>
            <w:r w:rsidR="00000000" w:rsidRPr="00000000" w:rsidDel="00000000">
              <w:rPr>
                <w:rtl w:val="0"/>
              </w:rPr>
              <w:t xml:space="preserve"> vai dzīvokļa īpašumu, par kuru lietošanu Dzīvojamo telpu īres likumā noteiktajā kārtībā ir noslēgts dzīvojamās telpas īres līgums, to vispirms rakstveidā piedāvā pirkt īrniekam un viņa ģimenes locekļiem.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26-TA-993</w:t>
    </w:r>
    <w:r>
      <w:br/>
    </w:r>
    <w:r w:rsidR="00000000" w:rsidRPr="00000000" w:rsidDel="00000000">
      <w:rPr>
        <w:rtl w:val="0"/>
      </w:rPr>
      <w:t xml:space="preserve">Izdrukāts 15.05.2026.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26-TA-993</w:t>
    </w:r>
    <w:r>
      <w:br/>
    </w:r>
    <w:r w:rsidR="00000000" w:rsidRPr="00000000" w:rsidDel="00000000">
      <w:rPr>
        <w:rtl w:val="0"/>
      </w:rPr>
      <w:t xml:space="preserve">Izdrukāts 15.05.2026.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