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23-TA-2275: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Zinātniskās darbības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Universitāšu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LUA nesaskaņo likumprojektu, sniedzot sekojošus iebildumus un priekšlikumus (</w:t>
            </w:r>
            <w:r w:rsidR="00000000" w:rsidRPr="00000000" w:rsidDel="00000000">
              <w:rPr>
                <w:i w:val="1"/>
                <w:rtl w:val="0"/>
              </w:rPr>
              <w:t xml:space="preserve">skatīt tālāk pie grozījumu punktiem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redakcionāliem priekšlikumiem, kas skatāmi minētajā atzinumā pie konkrētajiem punktiem, LUA turpmāk aicina atbildīgās ministrijas nodrošināt savlaicīgu un nepārtrauktu dialogu ar iesaistītajām pusēm, kuras tieši skars plānotie likuma grozījumi - šajā gadījumā tās ir valsts zinātniskās institūcijas. Līdz šim dialogs ir ticis organizēts ļoti neregulāri – iesaistītās puses ir aicinātas reaģēt uz pieprasījumu sniegt atzinumu par likumprojektu īsos termiņos pēc ilgākiem pārtraukumiem t.sk. par grozījumu punktiem, kas iepriekšējās likumprojekta iterācijās nav bijuši pat aktualizēti. Līdz ar to veidojas situācija, ka valsts zinātniskajām institūcijām nerodas pārliecība par piedāvāto likumprojekta grozījumu pamatotību (t.sk. nav nodrošināta nepārprotama argumentācija likumprojekta anotācijā par grozījumiem). LUA vēlas precizēt, ka pilnīgi atbalsta nepieciešamību izstrādāt atsevišķus Ministru kabineta noteikumus, kas sniegtu tiesiskā regulējuma ietvaru un noteiktu intelektuālā īpašuma komercializācijas kārtību atbilstoši tehnoloģiju pārneses jomas pasaules tendencēm un labajai praksei (piem., nodrošinot, ka valsts zinātniskās institūcijas drīkst komercializēt intelektuālo īpašumu efektīvo pārrunu procedūras ceļā, dibinot spin-off uzņēmumus u.tml.), kas arī ir definēts kā konkrētā likumprojekta mērķis. LUA iebilst par citu procesuālu normu integrēšanu bez argumentēta skaidrojuma par to nepieciešamību, jo īpaši ņemot vērā, ka piedāvātās normas potenciāli palielinās administratīvo slogu, ierobežos izgudrotāju tiesības u.tml. Tas attiecās uz ierosinājumiem piemērot komercdarbības atbalsta regulējuma normas valsts zinātniskajām institūcijām, mantisko tiesību nodošanas procesa izmaiņām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iepriekš minēto – LUA aicina atbildīgās ministrijas organizēt nepārtrauktu un sistemātisku dialogu ar iesaistītajām pusēm (piem., vismaz reizi nedēļā), tādējādi iespējami ātri vienojoties par gala likumprojekta versiju, kurai piekrīt visas iesaistītās puses (vai vismaz, lai iesaistītajām pusēm rodas nepārprotama skaidrība par grozījumu pamatotību). Tas ļaus iespējami ātri uzsākt darbu pie iepriekš minēto Ministru kabineta noteikumu izstrādes, kas potenciāli būtiski uzlabos komercializācijas vidi Latvijā un veicinās ne tikai valsts zinātnisko institūciju, bet arī Latvijas kopējo konkurētspēju.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iepriekšējā saskaņošanas procesā (datējams ar 15.03.2024.) LUA rosināja dzēst specifisku priekšnosacījumu par 5 gadu termiņu, kura ietvaros valsts zinātniskajai institūcijai ir tiesības uz taisnīgu atlīdzību gadījumos, ja izgudrotājam ir nodotas mantiskās tiesības uz paša radīto intelektuālo īpašumu (kuram nav komerciāla potenciāla)  bez atlīdzības un izgudrotājs tomēr ir komercializējis intelektuālo īpašumu. Vēlamies uzsvērt, ka katrs gadījums ir individuāls un korekta pieeja būtu pusēm, pamatojoties uz unikāliem situācijas apstākļiem, vienoties par termiņu u.c. savstarpējo saistību aspektiem. Tāpat nepiekrītam Ekonomikas ministrijas Likumprojekta izziņā definētajai argumentācijai noraidot iepriekšējo LUA priekšlikumu dzēst attiecīgo priekšnosacījumu. Ekonomikas ministrija uzsver, ka </w:t>
            </w:r>
            <w:r w:rsidR="00000000" w:rsidRPr="00000000" w:rsidDel="00000000">
              <w:rPr>
                <w:i w:val="1"/>
                <w:rtl w:val="0"/>
              </w:rPr>
              <w:t xml:space="preserve">“5 gadi ir optimāls laika posms, kas sniedz iespēju konkrētas valsts zinātniskās institūcijas izgudrotājam vai selekcionāram, iegūstot tiesības uz zinātību un tehnoloģiju, izgudrojumu vai augu šķirni, nostiprināt šīs tiesības (piemēram, sagatavojot, iesniedzot un nostiprinot ES vai Eiropas patenta, vai starptautiskā patenta pieteikumu), kas var vidēji ilgt 2-3 gadus, atlikušos 2-3 gadus veltot komercializācijai, no kuras gūstot ieņēmumus, attiecīgi nodrošinot konkrētai valsts zinātniskajai institūcijai tiesības uz taisnīgu atlīdzību, kas līdzvērtīga tirgus cenai”</w:t>
            </w:r>
            <w:r w:rsidR="00000000" w:rsidRPr="00000000" w:rsidDel="00000000">
              <w:rPr>
                <w:rtl w:val="0"/>
              </w:rPr>
              <w:t xml:space="preserve">. LUA vēlas uzsvērt, ka katrs gadījums ir absolūti unikāls un nav iespējams noteikt termiņu (jo īpaši tik īsu) komercializācijas procesam. Visbeidzot, piedāvājums noteikt 5 gadu termiņu kad valsts zinātniskā institūcija var pretendēt uz taisnīgu atlīdzību, ir pretrunā ar atbildīgo ministriju citos punktos piedāvātajiem priekšlikumiem, t.i. šajā gadījumā rodas risks par negodprātīgu konkrētā termiņa izmantošanu. LUA aicina dzēst minēto priekšnosacījumu par 5 gadu termiņa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LUA aicina dzēst priekšnoteikumu, kurš nosaka, ka taisnīgās atlīdzības apjomam, kurš tiktu nodrošināts no izgudrotāja (</w:t>
            </w:r>
            <w:r w:rsidR="00000000" w:rsidRPr="00000000" w:rsidDel="00000000">
              <w:rPr>
                <w:i w:val="1"/>
                <w:rtl w:val="0"/>
              </w:rPr>
              <w:t xml:space="preserve">mantisko tiesību turētāja gadījumos, kad tam ir nodotas tiesības</w:t>
            </w:r>
            <w:r w:rsidR="00000000" w:rsidRPr="00000000" w:rsidDel="00000000">
              <w:rPr>
                <w:rtl w:val="0"/>
              </w:rPr>
              <w:t xml:space="preserve">) valsts zinātniskajai institūcijai ir jābūt līdzvērtīgam tirgus cenai. LUA vēlas pamatot savu pozīciju ar piemēru, t.i. – ir noslēgta vienošanās starp valsts zinātnisko institūciju un izgudrotāju, kuram ir nodotas mantiskās tiesības uz intelektuālo īpašumu. Vienošanās pamatā ir nosacījums, ka gadījumā, ja izgudrotājs komercializē intelektuālo īpašumu – katru gadu izgudrotājam ir jāsamaksā valsts zinātniskajai institūcijai 10% no ieņēmumiem no konkrētā intelektuālā īpašuma komercializācijas. Projicējot, ka tie ik gadu būtu 100 000 EUR – katru gadu valsts zinātniskā institūcija saņemtu taisnīgu atlīdzību 10 000 EUR apmērā. Līdz ar to rodas jautājums – kurā brīdī un kuram būtu jāpierāda “tirgus cenas” priekšnoteikums – izgudrotājam par to, ka 100 000 EUR ir tirgus cena; valsts zinātniskajai institūcijai par to, ka 10 000 EUR (un iespējams lielāki) ieņēmumi ir tirgus cena u.tml. Visbeidzot, ja iepriekšējās normas, par kurām LUA izteica iebildumu, paliek spēkā – šķietami rodas situācija, ka izgudrotājam valsts zinātniskajai institūcija būtu jāmaksā gan pie intelektuālā īpašuma mantisko tiesību pārņemšanas, gan pie konkrētā intelektuālā īpašuma sekmīgas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LUA aicina izņemt abus minētos priekšnoteikumus, neierobežojot un neuzliekot papildus administratīvo slogu minētajiem apstākļiem. Par piemēru tam, ka arī citviet ES ir līdzīga prakse, var kalpot Dānijas Izgudrojumu likums (https://medarbejdere.au.dk/en/administration/research-support-and-collaboration/tto-technology-transfer/legislation-and-rules/the-act-on-inventions). Likuma 11.4.punkts nosaka, ka darbiniekam, kurš saglabā mantiskās tiesības uz intelektuālo īpašumu ir pienākums nodrošināt taisnīgu atlīdzību publiskai pētniecības iestādei. Savukārt 12.2.punkts nosaka, ka taisnīga atlīdzība ir jānodrošina gadījumos, kad intelektuālais īpašums faktiski ir komercializēts (nevis tiesību pārņemšanas procesā, kā tas ir noteikts aktuālajā likumprojekta versijā).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3 </w:t>
            </w:r>
            <w:r w:rsidR="00000000" w:rsidRPr="00000000" w:rsidDel="00000000">
              <w:rPr>
                <w:b w:val="1"/>
                <w:rtl w:val="0"/>
              </w:rPr>
              <w:t xml:space="preserve">pants. Lēmumu pieņemšana par mantisko tiesību uz jaunu izgudrojumu vai augu šķirni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w:t>
            </w:r>
            <w:r w:rsidR="00000000" w:rsidRPr="00000000" w:rsidDel="00000000">
              <w:rPr>
                <w:strike w:val="1"/>
                <w:rtl w:val="0"/>
              </w:rPr>
              <w:t xml:space="preserve">piecu gadu laikā</w:t>
            </w:r>
            <w:r w:rsidR="00000000" w:rsidRPr="00000000" w:rsidDel="00000000">
              <w:rPr>
                <w:rtl w:val="0"/>
              </w:rPr>
              <w:t xml:space="preserve">, valsts zinātniskajai institūcijai brīdī, kad izgudrotājs vai selekcionārs ir uzsācis zinātības un tehnoloģiju, izgudrojuma vai augu šķirnes komerciālu izmantošanu, ir tiesības uz taisnīgu atlīdzību</w:t>
            </w:r>
            <w:r w:rsidR="00000000" w:rsidRPr="00000000" w:rsidDel="00000000">
              <w:rPr>
                <w:strike w:val="1"/>
                <w:rtl w:val="0"/>
              </w:rPr>
              <w:t xml:space="preserve">, kas līdzvērtīga tirgus cenai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šajā gadījumā aicinām dzēst  likumprojekta papildinājumu attiecībā par komercdarbības atbalsta regulējuma normu piemērošanu universitātei, ņemot vērā, ka nav nodrošināts nepārprotams skaidrojums par saistītās normas piemērošanu praksē un kā tas potenciāli varētu ietekmēt valsts zinātnisko institūciju pamatdarbību (atskaitot vispārīgu skaidrojumu anotācijā par to, ka šīs normas būtu jāpiemēro). Pilnu argumentāciju skatīt šī atzinuma iepriekšējā punktā par 39.</w:t>
            </w:r>
            <w:r w:rsidR="00000000" w:rsidRPr="00000000" w:rsidDel="00000000">
              <w:rPr>
                <w:vertAlign w:val="superscript"/>
                <w:rtl w:val="0"/>
              </w:rPr>
              <w:t xml:space="preserve">3</w:t>
            </w:r>
            <w:r w:rsidR="00000000" w:rsidRPr="00000000" w:rsidDel="00000000">
              <w:rPr>
                <w:rtl w:val="0"/>
              </w:rPr>
              <w:t xml:space="preserve"> (2).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39.3 pants. Lēmumu pieņemšana par mantisko tiesību uz jaunu izgudrojumu vai augu šķirni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w:t>
            </w:r>
            <w:r w:rsidR="00000000" w:rsidRPr="00000000" w:rsidDel="00000000">
              <w:rPr>
                <w:strike w:val="1"/>
                <w:rtl w:val="0"/>
              </w:rPr>
              <w:t xml:space="preserve">,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iepriekšējā saskaņošanas procesā (datējams ar 15.03.2024.) LUA rosināja dzēst likumprojekta papildinājumu attiecībā par komercdarbības atbalsta regulējuma normu piemērošanu universitātei, ņemot vērā, ka nav nodrošināts nepārprotams skaidrojums par saistītās normas piemērošanu praksē un kā tas potenciāli varētu ietekmēt valsts zinātnisko institūciju pamatdarbību (atskaitot vispārīgu skaidrojumu anotācijā par to, ka šīs normas būtu jāpiemēro). Atkārtoti uzsveram, ka  likumprojekta 39.</w:t>
            </w:r>
            <w:r w:rsidR="00000000" w:rsidRPr="00000000" w:rsidDel="00000000">
              <w:rPr>
                <w:vertAlign w:val="superscript"/>
                <w:rtl w:val="0"/>
              </w:rPr>
              <w:t xml:space="preserve">3</w:t>
            </w:r>
            <w:r w:rsidR="00000000" w:rsidRPr="00000000" w:rsidDel="00000000">
              <w:rPr>
                <w:rtl w:val="0"/>
              </w:rPr>
              <w:t xml:space="preserve"> panta otrās daļas papildinājumi, kuri nosaka, ka </w:t>
            </w:r>
            <w:r w:rsidR="00000000" w:rsidRPr="00000000" w:rsidDel="00000000">
              <w:rPr>
                <w:i w:val="1"/>
                <w:rtl w:val="0"/>
              </w:rPr>
              <w:t xml:space="preserve">“valsts zinātniskā institūcija piemēro komercdarbības atbalsta regulējumu mantisko tiesību ieguvējam, ja attiecināms”</w:t>
            </w:r>
            <w:r w:rsidR="00000000" w:rsidRPr="00000000" w:rsidDel="00000000">
              <w:rPr>
                <w:rtl w:val="0"/>
              </w:rPr>
              <w:t xml:space="preserve"> sasaistē ar anotācijā klāstīto informāciju, nerada nepārprotamu tiesību akta interpretāciju, kas potenciāli mazinās konkrētās normas pielietošanu praksē, tādējādi pasliktinot izgudrotāju tiesības, kā arī pozitīvu valsts zinātniskās institūcijās (turpmāk – VZI) radītu intelektuālo īpašumu komercializācijas gadījumu skaitu (t.sk. samazinot atdevi no publiskām investīcijām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likumprojekta izziņā atbildīgās ministrijas nav reaģējušas uz konkrēto iebildumu un priekšlikumu redakcionālām izmaiņām (7.punkts likumprojekta izziņā).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punkts.</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pants. Lēmumu pieņemšana par mantisko tiesību uz jaunu izgudrojumu vai augu šķirni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w:t>
            </w:r>
            <w:r w:rsidR="00000000" w:rsidRPr="00000000" w:rsidDel="00000000">
              <w:rPr>
                <w:strike w:val="1"/>
                <w:rtl w:val="0"/>
              </w:rPr>
              <w:t xml:space="preserve">,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23-TA-2275</w:t>
    </w:r>
    <w:r>
      <w:br/>
    </w:r>
    <w:r w:rsidR="00000000" w:rsidRPr="00000000" w:rsidDel="00000000">
      <w:rPr>
        <w:rtl w:val="0"/>
      </w:rPr>
      <w:t xml:space="preserve">Izdrukāts 13.05.2024. 18.05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23-TA-2275</w:t>
    </w:r>
    <w:r>
      <w:br/>
    </w:r>
    <w:r w:rsidR="00000000" w:rsidRPr="00000000" w:rsidDel="00000000">
      <w:rPr>
        <w:rtl w:val="0"/>
      </w:rPr>
      <w:t xml:space="preserve">Izdrukāts 13.05.2024. 18.05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Atzinumi_23-TA-2275.docx</dc:title>
</cp:coreProperties>
</file>

<file path=docProps/custom.xml><?xml version="1.0" encoding="utf-8"?>
<Properties xmlns="http://schemas.openxmlformats.org/officeDocument/2006/custom-properties" xmlns:vt="http://schemas.openxmlformats.org/officeDocument/2006/docPropsVTypes"/>
</file>