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 2021.‒2027. gada plānošanas perioda vadības likuma 19. panta 6.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atbalstāmo darbību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risinājumu apjoms ierobežo dažādu teritoriju vajadzību īstenošanu. Priekšlikums: paplašināt atbalstāmo darbību sarakstu, iekļaujot zaļās infrastruktūras risinājumus un kritiski svarīgu ēku pielāgošanu klimata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“Zaļā” un “zilā” infrastruktūra, “pelēkā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skaidru definīciju. Noteikumos, kas nosaka finansējuma piešķiršanas kārtību, parasti nepieciešama skaidra definīcija (īpaši, ja no definīcijas atkarīga atbilstība finansējuma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projektu sagatavošanas izmaksu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neparedz iespēju finansēt tehnisko izpēšu izmaksas. Priekšlikums: noteikt, ka tehniskā izpēte un modelēšana ir attiecināmas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V. sadaļas 36.2.2.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pasākumā atbalstāmo darbību (piemēram, meliorācijas sistēmu atjaunošana, palieņu atjaunošana, aizsprostu pielāgošana, lietusūdens savākšanas sistēmas izbūve u. c.) nerada publiski izmantojamu infrastruktūru, līdz ar to tām objektīvi nevar piemērot būvētās vides vai IT pieejamības prasības. Esošā redakcija rada situācijas, kur prasība ir jāizpilda formāli vai fiktīvi, bez reāla satura, kas neatbilst samērīguma principam un palielina administratīvo slogu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šo prasību piemērot tikai tiem projektiem, kuru ietvaros tiek izveidota vai attīstīta infrastruktūra, kuru izmanto vai izmantos fiziskas personas, t.sk. cilvēki ar funkcionāliem traucējumiem. Šī prasība nav attiecināma uz meliorācijas sistēmu, inženierkomunikāciju, dabas teritoriju vai citu tehniskās infrastruktūras objektu izbūvi un atjaunošanu, kuru darbība nav saistīta ar pakalpojumu pieejamību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Jaunā Eiropas Bauhaus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36.5. punktā norādīts, ka jāievēro Jaunais Eiropas Bauhaus principi ar atrunu, ka 2. kārtā jāievēro tikai tad, ja tos iespējams piemērot. Tad 1. kārtā tie ir obligāti piemērojami, lai gan šie principi nav tieši saistīti ar tādiem pasākumiem, kā, piemēram, dzeramā ūdens pieejamības nodrošināšana (dziļurbuma ierīkošana utml.). Ierosinājums – iestrādāt atrunu, ka principi piemērojami tad, kad vai ja tos iespējams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28.11.2025.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28.11.2025.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