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anotāciju par projekta izstrādē iesaistītajām institūcijām un sabiedrības līdzdalības procesu. Vēršam uzmanību, ja nav rīkota publiskā apspriešana, bet ir organizēta darba grupa un konsultāciju process, tas anotācijā ir atbilstoši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Sadaļas sākumā  ir jāizvēlas "nē", tad kā līdzdalības veids ir jāizvēlas darba grupa/ domnīca, Attiecīgi 6.3. ir jāsniedz apraksts par to, kad notika darba grupa, ko tā apsprieda, kādā veidā un par ko tika organizētas konsultācijas, kādi bija priekšlikumi no iesaistītajām pusēm un kā darba grupa ar tiem strādāja.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likumprojekts ir vērtējams kā tiesību akts ar augstu ietekmes līmeni, kas vērsts uz cilvēku vienlīdzīgu tiesību nodrošināšanu un labklājības veicināšanu. Tādēļ aicinām apsvērt iespēju paredzēt tiesību akta pēcpārbaudes ietekmes izvērtēšanu (ex-post) trīs līdz piecu gadu laikā pēc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izvērtējuma mērķis ir noskaidrot, kā praksē ir ieviestas likuma prasības, vai ir sasniegts likuma mērķis un kāda ir regulējuma faktiskā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20. punktu, ja projektam paredzēta tiesību akta pēcpārbaudes ietekmes (ex-post) izvērtēšana, informāciju par to iekļauj anotācijā, norādot izvērtējuma pamatojumu, veikšanas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izvērtējuma rezultāti var kalpot par pamatu lēmuma pieņemšanai par tiesību akta vai tā ieviešanas instrumentu pārskatīšanu, tādējādi uzlabojot regulējuma kvalitāti, aktualitāti un efektivitāti. Vienlaikus tie var kalpot arī par pamatu jaunu iniciatīvu izstrādei, kas sekmē tiesību akta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kanceleja ir izstrādājusi vadlīnijas tiesību aktu ex-post ietekmes izvērtēšanai, kas ir publicētas Ministru kabineta tīmekļvietnē: https://www.mk.gov.lv/lv/media/25598/download?attachment.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lai stiprinātu ministriju un citu institūciju kapacitāti patstāvīgi veikt tiesību aktu ex-post ietekmes izvērtēšanu, Valsts kanceleja īsteno virkni mērķtiecīgu kapacitātes stiprināšanas pasākumu, kas vērsti uz institucionālās kompetences pilnveidi un datos balstītas politikas veidošanas un īstenošanas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09.07.2026.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09.07.2026.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