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ārstniecības personas profesijas, pamatspecialitātes, apakšspecialitātes un papildspecialitātes profesionālās kvalifikācijas līmeni, mācību ilgumu, profesionālās kvalifikācijas prasības un nepieciešamo kompetenci un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un 1.2. apakšpunktu atbilstoši Ministru kabinetam dotajam pilnvarojumam, precīzi pārrakstot Ārstniecības likuma 27. pantā un 33. panta trešajā daļā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Optometrista profesionālā kvalifikācija atbilst septītajam profesionālās kvalifikācijas līmenim vai līdz 2011.gada 1.janvārim otrā līmeņa profesionālās augstākās izglītības programmā "Optometrija" vismaz viena gada (vismaz 40 kredītpunkti) apjomā ir iegūta optometrista kvalifikācija.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551. punktā ietverto teikuma daļu, kas sākas ar vārdiem "vai līdz …", ņemot vērā to, ka Ārstniecības likuma 45.</w:t>
            </w:r>
            <w:r w:rsidR="00000000" w:rsidRPr="00000000" w:rsidDel="00000000">
              <w:rPr>
                <w:vertAlign w:val="superscript"/>
                <w:rtl w:val="0"/>
              </w:rPr>
              <w:t xml:space="preserve">1</w:t>
            </w:r>
            <w:r w:rsidR="00000000" w:rsidRPr="00000000" w:rsidDel="00000000">
              <w:rPr>
                <w:rtl w:val="0"/>
              </w:rPr>
              <w:t xml:space="preserve"> panta pirmā daļa paredz, ka optometrists ir ārstniecības persona, kas ieguvusi otrā līmeņa profesionālo augstāko medicīnisko izglītību un darbojas atbilstoši savai kompetencei ārstniecībā. Vienlaikus norādām, ka, ja attiecīgā regulējuma mērķis ir noteikt, ka tie, kas izglītību ieguvuši līdz 2011. gada 1. janvārim, ir ieguvuši profesionālo kvalifikāciju, kas atbilst citam profesionālās kvalifikācijas līmenim, ierosinām noteikt, piemēram šādi, "vai, ja optometrista profesionālā kvalifikācija iegūta līdz 2011. gada 11. janvārim, tā atbilst sestajam profesionālās kvalifikācijas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Māsa (vispārējās aprūpes māsa) ar specializāciju anestēzijā un intensīvajā aprūpē ir ieguvusi profesionālās pilnveides apliecību par māsas (vispārējās aprūpes māsas) specializācijas anestēzijā un intensīvajā aprūpē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562. un 567. punktu vai precizēt tos, noformulējot tos līdzīgi kā projekta 572. un 577. punktu, ņemot vērā to, ka Ārstniecības likuma 27. pants un 33. panta trešās daļas otrais teikums nav pilnvarojis Ministru kabinetu noteikt, kāds izglītības dokuments apliecina māsas (vispārējās aprūpes māsas) iegūto specializāciju.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 Šo noteikumu </w:t>
            </w:r>
            <w:r w:rsidR="00000000" w:rsidRPr="00000000" w:rsidDel="00000000">
              <w:rPr>
                <w:rtl w:val="0"/>
              </w:rPr>
              <w:t xml:space="preserve">648. </w:t>
            </w:r>
            <w:r w:rsidR="00000000" w:rsidRPr="00000000" w:rsidDel="00000000">
              <w:rPr>
                <w:rtl w:val="0"/>
              </w:rPr>
              <w:t xml:space="preserve">punktā</w:t>
            </w:r>
            <w:r w:rsidR="00000000" w:rsidRPr="00000000" w:rsidDel="00000000">
              <w:rPr>
                <w:rtl w:val="0"/>
              </w:rPr>
              <w:t xml:space="preserve"> minētajās apakšspecialitātēs un papildspecilitātēs profesionālās tālākizglītības programmas īsteno izglītības iestāde, kas īsteno akreditētu profesionālo rezidentūras izglītības programmu, un par programmas apguvi izsniedz profesionālās kvalifikācijas apliecību par iegūtu profesionālo kvalifikāciju, kas atbilst Latvijas kvalifikāciju ietvarstruktūras astotajam līmenim. Rezidenti, kuri attiecīgajā rezidentūras programmā apakšspecialitātes, papildspecialitātes apguvei ir imatrikulēti līdz 2024.gada 1.oktobrim rezidentūras programmas apguvi beidz atbilstoši tai rezidentūras programmas izglītības formai un ilgumam, kāds bija spēkā 2024.gada 1.oktobrī.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649. punktu, ņemot vērā to, ka projekta 660. punkts paredz, ka projekts stājas spēkā 2024. gada 1. oktobrī. Vēršam uzmanību uz to, ka projekta 649. punktā minētajā gadījumā būs piemērojami projektā paredzētie nosacījumi, nevis normatīvais akts, kas bija spēkā līdz 2024. gada 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 apakšsadaļu ar informāciju par projekta spēkā stāšanās termiņu, ņemot vērā to, ka projekta 660. punkts paredz, ka projekts stāsies spēkā 2024.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svītrot anotācijas 4.1.1. apakšsadaļā iekļauto informāciju, ņemot vērā to, ka projekta saistītais tiesību akta projekts nevar būt grozījumi likumā. Vēršam uzmanību uz to, ka Ministru kabineta noteikumos ietvertajam regulējumam jāizriet no likumā ietvertā regulējuma, tādējādi vispirms būtu izdarāmi grozījumi likumā un tikai tad sagatavojami attiecīgi Ministru kabineta noteikumi. Informāciju par nepieciešamību grozīt likumu var ietvert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18.06.2024. 20.58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18.06.2024. 20.58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