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nacionālie rezultāta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9.2. apakšpunktu ar jaunu 9.2.3. punktu, kurā norādīti pieci pārveidoti transportlīdzekļi pārvietojamo drošības klašu izveidei atbilstoši anotācijas I sadaļā "Projekta mērķis"norādītajai informācijai par plānoto piecu transportlīdzekļu pārbūvi un noteikumu projekta 22.2. apakšpunktā norādīto:  transportlīdzekļu pārveidošana pārvietojamu drošības klašu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plānota esošo ēku renovācija. Līdz ar to lūdzam vai nu skaidrot renovēto ēku neuzrādīšanu pie rezultāta rādītājiem, vai 9.2. apakšpunktā pievienot renovēto ēku skaitu kā nacionālo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9.2.3. pārveidoti pieci transportlīdzekļi pārvietojamo drošības klašu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Princova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ieviestas drošības klases piecos reģionos;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9.2.apakšpunktā norādīto rādītāju sasniedzamo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skaidri norādīt noteikumu projekta 9.2.1. apakšpunktā norādītā rādītāja vērtību, ņemot vērā, ka no esošās redakcijas un anotācijā norādītās informācijas ("[..] paredzot piecas stacionāras drošības klases izveidošanu katrā reģionā un Latvijas Ugunsdzēsības muzejā Rīgā un piecu pārvietojamu drošības klašu attīstību, katrā reģionā un Rīgā, prevencijas darbam ar sabiedrību") nav skaidri saprotams, vai ir plānotas kopumā piecas drošības klases, t.i., pa vienai katrā reģionā, vai piecas drošības klases katrā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9.2.2.apakšpunktā norādītā rādītāja vērtību, norādot precīzu ēku skaitu, kas tiks nodots ekspluatācijā, ņemot vērā, ka no anotācijā sniegtās informācijas noprotams, ka tiks izbūvētas vairāk kā divas ēkas. Anotācijas I sadaļā "Projekta mērķis" skaidrots, ka: "Projekta “Ugunsdzēsības loģistikas un remonta bāzes kompleksa būvniecība” mērķis ir uzbūvēt ēku, kur tiks veikta VUGD transportlīdzekļu apkope un remonts. Tas būtiski samazinās VUGD tehnikas dīkstāvi un remontu izmaksas. Papildus tam, projekta ietvaros plānots uzbūvēt arī jaunu Rīgas reģiona pārvaldes 8. daļas ugunsdzēsības depo un Iepirkumu nodrošinājuma pārvaldes noliktavas."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23.1., 23.2. un 24.6. apakšpunktos minētās izmaksu pozīcijas ir attiecināmas līdz 10% no projektu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26.punktu papildināt, ņemot vērā vadlīnijas attiecināmo izmaksu noteikšanai Eiropas Savienības kohēzijas politikas programmas 2021.-2027.gada plānošanas periodā, ar atsaucēm uz 23.8. un 24.5. apakšpunktiem.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iespēju noteikumu 23.1. un 24.5.apakšpunktus papildināt arī ar energoefektivitātes audita izmaksām, kas arī attiecīgi iekļautos 26.punktā minētajā 10% ierobežojumā.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plānotais un pieejamais kopējais finansējums ir 51 258 053 euro, tai skaitā Eiropas Reģionālās attīstības fonda finansējums 43 569 345 euro un valsts budžeta līdzfinansējums 7 688 708 euro, nodrošinot, ka Eiropas Reģionālās attīstības fonda atbalsta intensitāte nepārsniedz 85 procentus un vienlaikus arī pasākuma trešajai kārtai sākotnēji plānoto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7. punktu piedāvātajā redakcijā, vienlaikus svītrojot noteikumu projekta 8.punktu. Papildus lūdzam papildināt noteikumu projektu ar punktu, kas nosaka atbildīgās iestādes tiesības pēc Eiropas Komisijas lēmuma par vidusposma pārskatu un tajā sniegto informāciju par programmas ieviešanas progresu ierosināt no 2026. gada 1. janvāra palielināt pieejamo finansējumu līdz noteikumu projektā pasākuma trešās kārtas plānotā kopējā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kārtas plānotais finansējums ir 51 258 053 euro (tai skaitā elastības finansējums 2 477 905 euro), tai skaitā Eiropas Reģionālās attīstības fonda finansējums 43 569 345 euro (tai skaitā elastības finansējums 2 106 220 euro) un valsts budžeta līdzfinansējums 7 688 708 euro (tai skaitā elastības finansējums 371 685 euro), nodrošinot, ka Eiropas Reģionālās attīstības fonda atbalsta intensitāte nepārsniedz 85 procentus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saņēmējam un sadarbības partnerim ir pienākums slēgt sadarbības līgumu, nosakot pienākumus un tiesības katra projekta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17. punktu izteikt paplašinātākā redakcijā: "Finansējuma saņēmējam un sadarbības partnerim ir pienākums slēgt sadarbības līgumu, nosakot pienākumus, uzdevumus, funkcijas un tiesības katra projekta kontekstā,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Valsts ugunsdzēsības un glābšanas dienesta kā sadarbības partnera galvenie pienākumi ir konsultēt un noteikt Ugunsdrošības un civilās aizsardzības koledžas ēku kompleksa un Ugunsdzēsības, loģistikas un remonta bāzes kompleksa gala lietotāja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Nodrošinājuma valsts aģentūras kā sadarbības partnera pienākumi ir nodrošināt telpu pielāgošanai nepieciešamo projektēšanas, būvdarbu un būvuzraudzības iepirkumu veikšanu un šādu darbu izpildes vadību un norēķinu veikšanu nolīgtajiem darbu izpildītājiem.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Princova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III nodaļā "Atbalstāmās darbības un attiecināmās izmaksas" precizēt un skaidri definēt saistītās infrastruktūras izveides jēdzienu: kas, cik daudz un cik tālu no objektiem ir plānota attiecināmā infrastruktūras izveide.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Princova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iestājies 2024. gads, lūdzam precizēt anotācijas 3. sadaļas ietekmes tabulu, kā kārtējo gadu norādot 2024. gadu un attiecīgi precizējot arī turpmāko gadu aiļu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valsts budžeta priekšfinansējumu pēc nepieciešamības pieprasīt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līdzekļiem, paredzot finansējumu Iekšlietu ministrijas budžeta programmā (apakšprogrammā) atbilstoši 2.1.3.3. pasākuma “Katastrofu risku mazināšanas pasākumi” trešās projektu iesniegumu atlases kārtas projektu īstenošanai nepieciešamajam finansējuma apjomam attiecīgajā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lūdzam svītrot MK sēdes protokollēmuma projekta 3. punktu, jo informācija par tajā noteikto ir paskaidrota anotācijas 3.sadaļā un ņemot vērā, ka kārtību, kādā tiek veikta līdzekļu pārdale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nosaka citi normatīvie akti, nav nepieciešams šīs normas dublēt.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08.01.2024.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08.01.2024.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Atzinumi_23-TA-1081.docx</dc:title>
</cp:coreProperties>
</file>

<file path=docProps/custom.xml><?xml version="1.0" encoding="utf-8"?>
<Properties xmlns="http://schemas.openxmlformats.org/officeDocument/2006/custom-properties" xmlns:vt="http://schemas.openxmlformats.org/officeDocument/2006/docPropsVTypes"/>
</file>