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Projektā iekļauj šādas atbalstāmās darbības, kas sekmē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12.1.</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specifiskā atbalsta mērķa ietvaros plānoto atbalstāmo darbību atbilstību horizontālā principa "Klimatdrošināšana"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HP “Klimatdrošināšana” mērķis ir novērst infrastruktūras neaizsargātību pret iespējamo klimata pārmaiņu ilgtermiņa ietekmi, vienlaikus nodrošinot, ka tiek ievērots princips “energoefektivitāte pirmajā vietā” un, ka no projekta izrietošais siltumnīcefekta gāzu emisiju  līmenis atbilst 2050. gada klimatneitralitātes mērķim. Detālāk: https://eur-lex.europa.eu/legal-content/LV/ALL/?uri=CELEX:52021XC0916(03)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 gan dzīvojamās mājas, gan nedzīvojamās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inženierbūves – transporta būves (piemēram, ceļi, dzelzceļi, ostas, lidostas vai iekšējo ūdensceļu transporta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cauruļvadi, sakaru un elektropārvades līnijas (informācijas un komunikācijas tehnoloģijas (piemēram, mobilo sakaru tīkli, datu kabeļi, datu centri) un ūdens apsaimniekošana (piemēram, ūdensapgādes cauruļvadi, ūdenskrātuves, notekūdeņu attīrīšanas iekārtas, dūņu lauki), kompleksās būves rūpnieciskās ražošanas uzņēmumos, kā arī citas inženierbūves, kas ir būtiska mūsdienu ekonomikas un sabiedrības funkcionēšanai;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dabā balstīta infrastruktūra (piemēram, apzaļumoti jumti, sienas un teritorijas, meliorācijas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sistēmas, kas paredzētas, lai apsaimniekotu uzņēmumos un mājsaimniecībās radušos atkritumus (piemēram, savākšanas laukumi,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pārkraušanas, šķirošanas un pārstrādes kompleksi, sadedzināšanas iekārtas un poligoni);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fiziskie aktīvi plašākā rīcībpolitikas jomu klāstā, ieskaitot sakaru, neatliekamās palīdzības dienestu, enerģētikas, finanšu, pārtikas, pārvaldības, veselības aprūpes, izglītības un apmācības, pētniecības, civilās aizsardzības un transporta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Kašs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25.03.2024. 08.30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25.03.2024. 08.30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Atzinumi_23-TA-2382.docx</dc:title>
</cp:coreProperties>
</file>

<file path=docProps/custom.xml><?xml version="1.0" encoding="utf-8"?>
<Properties xmlns="http://schemas.openxmlformats.org/officeDocument/2006/custom-properties" xmlns:vt="http://schemas.openxmlformats.org/officeDocument/2006/docPropsVTypes"/>
</file>