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24-TA-936: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fondēto pensiju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izvērst anotācijā iekļauto Satversmības izvērtējumu un papildināt to ar izvērtējumu attiecībā uz to kā paredzētais regulējums ietekmēs mantojuma atstājēja kreditorus - skaidrojot, kādēļ šāds regulējums arī attiecībā arī uz kreditoru pamattiesību ierobežojumu būtu uzskatāms par samērīgu un Satversmei atbilstošu.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Norādām, ka par tiesību projektu atbilstību Satversmei ir atbildīgs tā izstrādātājs, līdz ar to, lai nerastos šaubu par šī likumprojekta atbilstību Satversmei, lūdzam anotāciju tomēr papildināt arī ar augstāk lūgto pamatojumu.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Bezdelīga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02.12.2024.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02.12.2024.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