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8. jūlija noteikumos Nr. 392 "Teritorijas attīstības plānošanas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Sistēma nodrošina plānošanai un līdzdalības budžeta pārvaldībai nepieciešamo datu saņemšanu un piekļuvi sistēmā iekļautajiem datiem automatizētajā tiešsaistes datu pārraides režīmā, izmantojot tīmekļa pakalpes. Sistēmas pārzinis var vienoties ar šo noteikumu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punktā minētajām institūcijām par citu datu apmaiņas risinājumu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Vispārīgās datu aizsardzības regulas 5. panta un 6. panta prasībām apstrādājamo personas datu apjomu publiska persona nosaka tiesību aktā. Lai nodrošinātu pārredzamības principu apstrādājamie personas datu veidi ir precīzi un izsmeļoši norādāmi tiesību aktā un turpmāk nevar būt paplašināti ar pārziņa un Pilsonības un migrācijas lietu pārvaldes (turpmāk -PMLP) vienošanos. Ņemot vērā minēto, lūdzam svītrot noteikumu, ka pārzinis var vienoties ar PMLP par datu apmaiņas apjomu, vai sniegt anotācijā skaidrojumu, ka norma neparedz iespēju apstrādāt personas datus, kas nav norādīti 30.</w:t>
            </w:r>
            <w:r w:rsidR="00000000" w:rsidRPr="00000000" w:rsidDel="00000000">
              <w:rPr>
                <w:vertAlign w:val="superscript"/>
                <w:rtl w:val="0"/>
              </w:rPr>
              <w:t xml:space="preserve">1</w:t>
            </w:r>
            <w:r w:rsidR="00000000" w:rsidRPr="00000000" w:rsidDel="00000000">
              <w:rPr>
                <w:rtl w:val="0"/>
              </w:rPr>
              <w:t xml:space="preserve"> punkta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no Valsts adrešu reģistra – šo noteikumu 30.2.1. līdz </w:t>
            </w:r>
            <w:r w:rsidR="00000000" w:rsidRPr="00000000" w:rsidDel="00000000">
              <w:rPr>
                <w:rtl w:val="0"/>
              </w:rPr>
              <w:t xml:space="preserve">30.2.5.</w:t>
            </w:r>
            <w:r w:rsidR="00000000" w:rsidRPr="00000000" w:rsidDel="00000000">
              <w:rPr>
                <w:rtl w:val="0"/>
              </w:rPr>
              <w:t xml:space="preserve">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2014. gada 8. jūlija noteikumos Nr.392 “Teritorijas attīstības plānošanas informācijas sistēmas noteikumi”” (turpmāk – projekts) 21. punktā paredzēto Ministru kabineta 2014. gada 8. jūlija noteikumu Nr.392 “Teritorijas attīstības plānošanas informācijas sistēmas noteikumi” (turpmāk – noteikumi) 38.2. apakšpunktu nepieciešams izteikt atbilstoši Administratīvo teritoriju un apdzīvoto vietu likuma 13. panta pirmajā daļā un citos normatīvajos aktos noteiktajam valsts informācijas sistēmas nosaukumam – Valsts adrešu reģistra informācijas sistēma, proti, saglabāt noteikumos esošo nosaukumu. Valsts adrešu reģistra informācijas sistēma (pilns nosaukums) šādi ir reģistrēta arī Valsts informācijas sistēmu reģistrā. Vēršam uzmanību, ka jebkura nosaukuma saīsinājumu veidošana normatīvajos aktos ir pieļaujama, ja konkrētajā normatīvajā aktā tas ir atrunāts. Savukārt Iekšlietu ministrijas priekšlikums, pamatojoties uz kuru noteikumos paredzēts veikts minētās normas grozījumu, juridiski netiek pamatots.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24-TA-2469</w:t>
    </w:r>
    <w:r>
      <w:br/>
    </w:r>
    <w:r w:rsidR="00000000" w:rsidRPr="00000000" w:rsidDel="00000000">
      <w:rPr>
        <w:rtl w:val="0"/>
      </w:rPr>
      <w:t xml:space="preserve">Izdrukāts 12.11.2024.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24-TA-2469</w:t>
    </w:r>
    <w:r>
      <w:br/>
    </w:r>
    <w:r w:rsidR="00000000" w:rsidRPr="00000000" w:rsidDel="00000000">
      <w:rPr>
        <w:rtl w:val="0"/>
      </w:rPr>
      <w:t xml:space="preserve">Izdrukāts 12.11.2024.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Atzinumi_24-TA-2469.docx</dc:title>
</cp:coreProperties>
</file>

<file path=docProps/custom.xml><?xml version="1.0" encoding="utf-8"?>
<Properties xmlns="http://schemas.openxmlformats.org/officeDocument/2006/custom-properties" xmlns:vt="http://schemas.openxmlformats.org/officeDocument/2006/docPropsVTypes"/>
</file>