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Civilās aizsardzības un katastrofas pārvaldīšanas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7.</w:t>
            </w:r>
            <w:r w:rsidR="00000000" w:rsidRPr="00000000" w:rsidDel="00000000">
              <w:rPr>
                <w:vertAlign w:val="superscript"/>
                <w:rtl w:val="0"/>
              </w:rPr>
              <w:t xml:space="preserve">1</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r w:rsidR="00000000" w:rsidRPr="00000000" w:rsidDel="00000000">
              <w:rPr>
                <w:vertAlign w:val="superscript"/>
                <w:rtl w:val="0"/>
              </w:rPr>
              <w:t xml:space="preserve">1</w:t>
            </w:r>
            <w:r w:rsidR="00000000" w:rsidRPr="00000000" w:rsidDel="00000000">
              <w:rPr>
                <w:rtl w:val="0"/>
              </w:rPr>
              <w:t xml:space="preserve"> pants. Patvertnes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iedala: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 kategorija – patvertnes aizsardzībai no sprādziena triecienviļņa, ķīmisko kaujas vielu, jonizējošā starojuma un radioaktīvo putekļu iedarbības, šķembām;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II kategorija – patvertnes aizsardzībai no sprādziena triecienviļņa un jonizējošā starojuma iedarbības, šķembām;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III kategorija - patvertnes, kas izveidotas, pielāgojot esošas būves vai to daļas, un mazina ietekmi no sprādziena triecienviļņa, šķembām.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 kategorijas patvertni izbūvē, veicot A un B kategorijas kritiskās infrastruktūras objektu, kur ikdienā paredzēts pastāvīgi uzturēties personālam,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Patvertni, kurai ir ne zemāka kā II kategorija, izbūvē, veicot šāda objekta jaunu būvniecību: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daudzdzīvokļu māja ar vairāk kā pieciem virszemes stāviem;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publiskā ēka: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pirmsskolas izglītības iestāde, pamatizglītības izglītības iestāde, vidējās izglītības iestāde, profesionālās izglītības iestāde, augstskola;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stacionārā ārstniecības iestāde;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cita publiskā ēka ar kopējo platību no 2500 kvadrātmetriem.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Objekta īpašnieks vai valdītājs, uz kuru neattiecas šā panta otrā un trešā daļa, ir tiesīgs ierīkot III kategorijas patvertni atbilstoši telpu pielāgošanas prasībām, vai augstākas kategorijas patvertni.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Patvertnes īpašnieks vai valdītājs nodrošina patvertnes uzturēšanu, lai katastrofas, tās draudu, militāra iebrukuma vai kara gadījumā patvertnē varētu iekļūt cilvēki un izmantot to</w:t>
            </w:r>
            <w:r w:rsidR="00000000" w:rsidRPr="00000000" w:rsidDel="00000000">
              <w:rPr>
                <w:b w:val="1"/>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Pašvaldības uztur informāciju par tās administratīvajā teritorijā esošo patvertņu izvietojumu..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Pašvaldībām, pamatojoties uz domes lēmumu, ir tiesības piedalīties patvertņu, tai skaitā privātās ēkās un telpās, izbūvē vai ierīkošanā un nodrošināšanā ar nepieciešamo aprīkojumu. Pašvaldība, piešķirot publiskos līdzekļus šajā panta daļā noteikto darbību veikšanai privātpersonas īpašumā esošajās ēkās un telpās, ievēro komercdarbības atbalsta kontroles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Pašvaldība, pamatojoties uz būvniecības ierosinātāja iesniegumu, lemj par atbrīvojumu no šajā likuma 7.</w:t>
            </w:r>
            <w:r w:rsidR="00000000" w:rsidRPr="00000000" w:rsidDel="00000000">
              <w:rPr>
                <w:vertAlign w:val="superscript"/>
                <w:rtl w:val="0"/>
              </w:rPr>
              <w:t xml:space="preserve">1</w:t>
            </w:r>
            <w:r w:rsidR="00000000" w:rsidRPr="00000000" w:rsidDel="00000000">
              <w:rPr>
                <w:rtl w:val="0"/>
              </w:rPr>
              <w:t xml:space="preserve"> panta trešajā daļā noteiktā pienākuma izbūvēt patvertni,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patvertnes izbūve rada būvniecības izmaksas, kas pārsniedz 50% no kopējām ēkas būvniecības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300 metru rādiusā ap būvējamo objektu jau ir patvertnes, kas nodrošina 100% patvērums deklarētajiem iedzīvotājiem, kā arī nodrošina 100% patvērumu būvējamajā objektā paredzētajam cilvēku skaitam.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Pašvaldība, pamatojoties uz būvniecības ierosinātāja iesniegumu, lemj par atļauju būvēt kopīgu patvertni divām vai vairākām ēkām, ja patvertnes sasniedzamība nepārsniedz 300 metrus no attiecīgās ēkas.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Veicot būves ar patvertni atjaunošanu vai pārbūvi, tai skaitā lietošanas veida maiņu, patvertne ir jāsaglabā.".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Attiecībā uz papildinātā 7.</w:t>
            </w:r>
            <w:r w:rsidR="00000000" w:rsidRPr="00000000" w:rsidDel="00000000">
              <w:rPr>
                <w:vertAlign w:val="superscript"/>
                <w:rtl w:val="0"/>
              </w:rPr>
              <w:t xml:space="preserve">1</w:t>
            </w:r>
            <w:r w:rsidR="00000000" w:rsidRPr="00000000" w:rsidDel="00000000">
              <w:rPr>
                <w:rtl w:val="0"/>
              </w:rPr>
              <w:t xml:space="preserve"> panta septīto daļu norādām, ka šajā normā noteiktās tiesības pašvaldība nevar realizētas vispārējā kārtībā, jo publiskā finansējumu piešķiršana privātpersonām noris administratīvā procesa ietvaros. Turklāt pašvaldības rīcībai ar publiskajiem līdzekļiem ir jābūt ne vien tiesiskai, bet arī noteiktai un vienveidīgai. Pašvaldība publisko finansējumu privātpersonām ir tiesīga piešķirt pamatojoties uz likumu, Ministru kabineta noteikumiem vai pašvaldības saistošajiem noteikumiem, proti, tiesības piešķirt atbalstu un kārtību, kāda piešķir atbalstu nosaka ar ārējo normatīvo aktu. Tādējādi lūdzam pārskatīt šo normu.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iespējamo pilnvarojumu pašvaldībai izdot saistošos noteikumus vēršam uzmanību, ka saskaņā ar Ministru kabineta 2022. gada 2. novembra Informatīvā ziņojuma "Par pašvaldību saistošo noteikumu izdošanas pilnvarojumu" (sēdes protokols Nr. 55 37. §) (22-TA-407) 3. punktu visām ministrijām, izstrādājot tiesību akta projektu, kurā ietverts deleģējums pašvaldībām izdot saistošos noteikumus, tiesību akta projekta sākotnējās ietekmes novērtējuma ziņojumā (anotācijā) iekļaut deleģējuma nepieciešamības izvērtējumu ar pamatojumu deleģētā jautājuma atšķirīgam noregulējumam pašvaldībās, kā arī skaidrot deleģējuma apjomu.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norādām, ka 7.</w:t>
            </w:r>
            <w:r w:rsidR="00000000" w:rsidRPr="00000000" w:rsidDel="00000000">
              <w:rPr>
                <w:vertAlign w:val="superscript"/>
                <w:rtl w:val="0"/>
              </w:rPr>
              <w:t xml:space="preserve">1 </w:t>
            </w:r>
            <w:r w:rsidR="00000000" w:rsidRPr="00000000" w:rsidDel="00000000">
              <w:rPr>
                <w:rtl w:val="0"/>
              </w:rPr>
              <w:t xml:space="preserve">panta septītās daļas otrais teikumam nav juridiskas nozīmes, jo komercdarbības atbalsta kontroles regulējums attiecas Komercdarbības atbalsta kontroles likumā noteiktajiem gadījumiem.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Attiecībā uz papildinātā 7.</w:t>
            </w:r>
            <w:r w:rsidR="00000000" w:rsidRPr="00000000" w:rsidDel="00000000">
              <w:rPr>
                <w:vertAlign w:val="superscript"/>
                <w:rtl w:val="0"/>
              </w:rPr>
              <w:t xml:space="preserve">1</w:t>
            </w:r>
            <w:r w:rsidR="00000000" w:rsidRPr="00000000" w:rsidDel="00000000">
              <w:rPr>
                <w:rtl w:val="0"/>
              </w:rPr>
              <w:t xml:space="preserve"> panta astoto daļu norādām, ka atbrīvojumu no pienākuma izbūvēt patvertni vai tā neattiecināšanu uz konkrēto gadījumu varētu konstatēt būvvalde vai institūcija, kura veic būvvaldes funkcijas, izskatos būvniecības ieceres iesniegumu par paredzēto būvniecību, tādējādi mazinot administratīvās darbības minētā fakta konstatēšanai. Līdzīgu pieeja būtu attiecināma arī uz 7.</w:t>
            </w:r>
            <w:r w:rsidR="00000000" w:rsidRPr="00000000" w:rsidDel="00000000">
              <w:rPr>
                <w:vertAlign w:val="superscript"/>
                <w:rtl w:val="0"/>
              </w:rPr>
              <w:t xml:space="preserve">1</w:t>
            </w:r>
            <w:r w:rsidR="00000000" w:rsidRPr="00000000" w:rsidDel="00000000">
              <w:rPr>
                <w:rtl w:val="0"/>
              </w:rPr>
              <w:t xml:space="preserve"> panta devītajā daļā noteikto gadījumu.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Ķeķers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16.09.2024. 14.32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24-TA-287</w:t>
    </w:r>
    <w:r>
      <w:br/>
    </w:r>
    <w:r w:rsidR="00000000" w:rsidRPr="00000000" w:rsidDel="00000000">
      <w:rPr>
        <w:rtl w:val="0"/>
      </w:rPr>
      <w:t xml:space="preserve">Izdrukāts 16.09.2024. 14.32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Atzinumi_24-TA-287.docx</dc:title>
</cp:coreProperties>
</file>

<file path=docProps/custom.xml><?xml version="1.0" encoding="utf-8"?>
<Properties xmlns="http://schemas.openxmlformats.org/officeDocument/2006/custom-properties" xmlns:vt="http://schemas.openxmlformats.org/officeDocument/2006/docPropsVTypes"/>
</file>