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Tiesiskā regulējuma ietekme uz tautsaimniecību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45.punktā norādīts, ka  EM 26.04.2024. iebildums attiecībā uz tautsaimniecības ietekmes izvērtējumu ir ņemts vērā, atbilstoši papildinot anotācijas 2.2. sadaļu. Pašreizējā anotācijas redakcijā precizējumi nav redzami, lūgums papildināt atbilstoši iepriekš izteiktajam iebildumam: Tā kā likumprojektam "Grozījumi Sabiedriskā transporta pakalpojumu likumā" ir konstatējama ietekme uz tautsaimniecību, tai skaitā uzņēmējdarbības vidi, lūgums to atbilstoši aprakstīt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Dana Vaivare (EM) (Didzis Brūklītis (EM)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24.05.2024. 17.48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24.05.2024. 17.48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