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Atlases kārtas ietvaros tiek atbalstīti pašvaldību attīstības programmās (tai skaitā stratēģijās, lai pielāgotos klimata pārmaiņām) paredzētie projekti, kurus īsteno pašvaldību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arī uz investīciju plāniem, atbilstoši 24.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tiek atbalstīti pašvaldību attīstības programmās (tai skaitā stratēģijās, lai pielāgotos klimata pārmaiņām) paredzētie un investīciju plānos iekļautie projekti, kurus īsteno pašvaldību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iesnieguma minimālais attiecināmo izmaksu apmērs nav mazāks par 200 000 (ieskaitot) </w:t>
            </w:r>
            <w:r w:rsidR="00000000" w:rsidRPr="00000000" w:rsidDel="00000000">
              <w:rPr>
                <w:i w:val="1"/>
                <w:rtl w:val="0"/>
              </w:rPr>
              <w:t xml:space="preserve">euro</w:t>
            </w:r>
            <w:r w:rsidR="00000000" w:rsidRPr="00000000" w:rsidDel="00000000">
              <w:rPr>
                <w:rtl w:val="0"/>
              </w:rPr>
              <w:t xml:space="preserve">, un projekta iesnieguma maksimālais ERAF finansējums vienai pašvaldībai ir 3 000 000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kādu apsvērumu pamatā ir noteikts noteikumu projekta 15.punktā norādītais izmaksu zemākais slieksnis.  Vienlaikus lūdzam precizēt noteikumu projekta 15.punktā norādīto projekta iesniedzēju, kas var būt ne tikai pašvaldības, bet arī to iestādes un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slēdzot rakstisku sadarbības līgumu, var piesaistīt šādus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nosacījumiem, kas nosaka galvenos aspektus (atbildība, funkcijas utt.) sadarbības līgumos, kas neizriet un nedublē Ministru kabineta 2023. gada 13. jūlija noteikumu Nr. 408 "Kārtība, kādā Eiropas Savienības fondu vadībā iesaistītās institūcijas nodrošina šo fondu ieviešanu 2021.-2027. gada plānošanas periodā" regulējumu, tostarp to 6. punktā ietvertos nosacījumus par sadarbības līgumā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pašvaldību īpašumā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noteikumu projekta 25.1.apakšpunkta tvērumu no "pašvaldību īpašumā ..." uz "projekta iesniedzēja īpašumā ...", atbilstoši noteikumu projekta 39. punktam, kā arī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īpašumā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attiecināmās izmaksas atlases kārtas ietvaros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nav iespējams, lūdzam papildināt anotāciju ar argumentāciju (iekļaujot aspektus, kas apgrūtina piemērot vienkāršotās izmaksas kā piemēram, izmaksu dažādība, datu pieejamība utt.) attiecībā uz vienkāršoto izmaksu nepiemērošanu. Vēršam uzmanību, ka 200 000 euro slieksnis attiecas uz obligāto vienkāršoto izmaksu piemērošanu, taču vienkāršotās izmaksas var piemērot jebkādām projektu darbībām neatkarīgi no projekta lieluma.  Vienlaikus lūdzam papildināt MK protokollēmumu ar punktu vai anotācijā iekļaut redakciju, kas paredz, ka 2.1.3.1. pasākuma ietvaros pēc noteikta laika perioda tiks atkārtoti izvērtētas vienkāršoto izmaksu piemērošanas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ar projekta īstenošanu saistītās pamatojošās dokumentācijas sagatavošanas izmaksas, izņemot 28.2. apakšpunktā minētās izmaksas, nepārsniedzot 10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vadlīniju attiecināmo izmaksu noteikšanai Eiropas Savienības kohēzijas politikas programmas 2021.-2027.gada plānošanas periodā 10.2.apakšpunkts nosaka,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noteikumu projekta 28.2.apakšpunktā minētās izmaksas, nepieciešamības gadījumā attiecīgās izmaksas (piemēram, tehniskās projekta izmaksas, autoruzraudzības un būvuzraudzības izmaksas) apvienojot ar minētā projekta 28.1.apakšpunktu. Vienlaikus lūdzam izvērtēt nepieciešamību noteikumu projekta 28.1.apakšpunktā detalizētāk norādīt, kas ietilpst pie pamatojošās dokumentācijas sagatavošanas izmaksām, kā arī papildināt minēto apakšpunktu ar atsauci uz izmaksām par projekta iesnieguma informācijas sagatavošanu un aizpildīšanu Kohēzijas politikas vadības un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īstenošanu saistītās pamatojošās dokumentācijas sagatavošanas izmaksas, izņemot 28.2. apakšpunktā minētās izmaksas un izmaksas par projekta iesnieguma informācijas sagatavošanu un aizpildīšanu Kohēzijas politikas vadības un informācijas sistēmā, nepārsniedzot 10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iekārtu un aprīkojuma iegāde, tai skaitā specializētu transportlīdzekļu iegāde, pašvaldību civilās aizsardzības uzlabošanai, nepārsniedzot 10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izvērstāku informāciju par noteikumu projekta 28.5.apakšpunktā  ietverto terminu "Specializētie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attiecināmo izmaksu noteikšanai Eiropas Savienības kohēzijas politikas programmas 2021.-2027.gada plānošanas periodā 16.apakšpunktā norādīto 44.atsauci, proti, ka saskaņā ar ERAF un KF regulas Nr.2021/1058 7.panta 1.punkta h)daļas iii) punktu iespējams iegādāties tikai tādus transportlīdzekļus, kas atbilst direktīvas Nr.2009/33/EC nosacījumiem, un to atbildīgā iestāde, izstrādājot MK noteikumus par investīcijas īstenošanu, norāda sākotnējās ietekmes izvērtējumā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rezerves izmaksas, nepārsniedzot piecus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28.9. punkta redakciju, ņemot vērā vadlīniju attiecināmo izmaksu noteikšanai Eiropas Savienības kohēzijas politikas programmas 2021.-2027.gada plānošanas periodā 13.3.apakšpunktā noteikto, ka rezerves izmaksas var paredzēt ne vairāk kā 10% apmērā no attiecināmo būvniecības izmaksu kopsummas (nevis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pievienotās vērtības nodokļa maksājumi, kas tiešā veidā saistīti ar projektu, saskaņā ar regulas Nr.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ir plānoti projekti ar kopējām attiecināmajām izmaksām, sākot ar 5 milj. EUR (t.sk. PVN), lai trešajai pusei būtu izsekojami, aicinām pie MK noteikumu attiecīgā punkta papildināt ar skaidru nosacījumu, ka gadījumos, ja projekta kopējās attiecināmās izmaksas ir vismaz 5 milj. EUR (ieskaitot PVN), tās ir attiecināmas, ja vien nav atgūstamas saskaņā ar valsts normatīvajiem aktiem PVN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pievienotās vērtības nodokļa maksājumi, kas tiešā veidā saistīti ar projektu, saskaņā ar regulas Nr. 2021/1060 64. panta 1. punkta “c” apakšpunktā ietvertajiem nosacījumiem, ja vien tie nav atgūstami saskaņā ar valsts normatīvajiem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Izmaksas ir attiecināmas no projekta iesnieguma iesniegšanas dienas, izņemot projekta pamatojošās dokumentācijas sagatavošanas un ekspertu konsultāciju izmaksas, kas ir attiecināmas, ja tās veiktas pēc 2021. gada 1. janvāra.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punkts paredz, ka projekta izmaksas paredzēts attiecināt no projekta iesnieguma iesniegšanas dienas. Ievērojot minēto, lūdzam papildināt anotāciju ar pamatojumu, kā arī Ministru kabineta sēdes protokollēmuma projektā noteikt finanšu plūsmas pirms projekta apstiprināšanas nodrošināšanas nosacījumus, kā arī atbildīgās iestādes pienākumus un atbildību gadījumos, ja pirms projekta apstiprināšanas radušās izmaksas nav attiecināmas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Izmaksas ir attiecināmas no projekta iesnieguma iesniegšanas dienas, izņemot projekta pamatojošās dokumentācijas sagatavošanas un ekspertu konsultāciju izmaksas, kas ir attiecināmas, ja tās veiktas pēc 2021. gada 1. janvāra.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pasākuma 1.kārtas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sadarbības partnera iesaisti un publisko iepirkumu veikšanu, lūdzam izteikt noteikumu projekta 35.6. apakšpunktu jaunā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norādīt,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w:t>
            </w:r>
            <w:r w:rsidR="00000000" w:rsidRPr="00000000" w:rsidDel="00000000">
              <w:rPr>
                <w:rtl w:val="0"/>
              </w:rPr>
              <w:t xml:space="preserve">un sadarbības partneris nodrošina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publiskos iepirkumus regulējošo normatīvo aktu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publiskas personas īpašumā vai valdījumā esošā īpašumā, ja valdījuma tiesības ir iegūtas uz termiņu, kas nav īsāks par projekta dzīves ciklu.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39.3. apakšpunktu, jo nav pamatojuma noteikt valdījuma tiesības uz periodu, kas nav īsāks par projekta dzīves ciklu. EK 2023. gada 2. oktobrī ir sniegusi skaidrojumu,  ka ilgtspēja nav jānodrošina visu dzīves ciklu (amortizācijas) periodu, bet tikai 5 gadus. Ilgtspējas nosacījumi ir nodalāmi no sabiedrisko pakalpojumu sniedzēja pienākuma uzturēt pakalpojumu sniegšanai nepieciešamo infrastruktūru atbilstoši līguma par sabiedrisko pakalpojumu sniegšanu nosacījumiem.  Pēcuzraudzības termiņam nav jāsakrīt ar  sabiedrisko pakalpojumu sniedzēja pilnvarojuma darbības termiņu, un ilgtspēja ir jānodrošina 5 gadus atbilstoši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 paredzēts veikt ieguldījumus citu publisku personu īpašumā, kas nav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anotācijā un noteikumu projektā lietotās redakcijas. Vēršam uzmanību, ka noteikumu projekta 28.9. apakšpunktā ir minētas rezerves izmaksas, bet anotācijā norādīts “neparedzētie izdevumi”. Ja nepieciešams, lūdzam papildināt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5.un 10.punktā paredzēto, kā arī anotācijas 1.3.sadaļā norādīto informāciju, lūdzam anotācijas 3.sadaļas 6.punktā norādīt prognozēto finansējuma apmēru sadalījumā pa gadiem pasākuma īstenošanas visiem gadiem, līdz 2029.gadam ieskaitot (proti, norādīt visu pasākumam paredzētā finansējuma sadalījumu pa gadiem, kā arī katrā gadā atsevišķi norādīt finansējuma sadalījumu pa avotiem (ERAF finansējums un pašvaldības budžeta finansējums (EUR izteiksmē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2.1.3. specifiskā atbalsta mērķa “Veicināt pielāgošanos klimata pārmaiņām, risku novēršanu un noturību pret katastrofām” 2.1.3.1. pasākuma “Pašvaldību pielāgošanās klimata pārmaiņām” (turpmāk – pasākums) pirmo projektu iesniegumu atlases kārtu (turpmāk – pirmā atlases kārta);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tekstu, vienoti lietojot šajā apakšpunktā atrunāto saīsinājumu "pirmā atlases kārta" (precizēt 1.3.apakšpunktā, 7.,8.,9.,16. un 28.punktā un II sadaļas nosaukumā). Tāpat aicinām MK noteikumos iekļaut tikai uz pirmo atlases kārtu attiecināmos rādītājus un finansējumu, bet kopējo pasākuma informāciju -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Atlases kārtas ietvaros tiek atbalstīti pašvaldību attīstības programmās (tai skaitā stratēģijās, lai pielāgotos klimata pārmaiņām) paredzētie projekti, kurus īsteno pašvaldību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arī uz investīciju plāniem, atbilstoši 24.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tiek atbalstīti pašvaldību attīstības programmās (tai skaitā stratēģijās, lai pielāgotos klimata pārmaiņām) paredzētie un investīciju plānos iekļautie projekti, kurus īsteno pašvaldību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Eberhards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plānotais kopējais attiecināmais finansējums ir 52 117 648 </w:t>
            </w:r>
            <w:r w:rsidR="00000000" w:rsidRPr="00000000" w:rsidDel="00000000">
              <w:rPr>
                <w:i w:val="1"/>
                <w:rtl w:val="0"/>
              </w:rPr>
              <w:t xml:space="preserve">euro</w:t>
            </w:r>
            <w:r w:rsidR="00000000" w:rsidRPr="00000000" w:rsidDel="00000000">
              <w:rPr>
                <w:rtl w:val="0"/>
              </w:rPr>
              <w:t xml:space="preserve"> (tai skaitā elastības finansējuma apmērs 17 355 352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44 300 000 </w:t>
            </w:r>
            <w:r w:rsidR="00000000" w:rsidRPr="00000000" w:rsidDel="00000000">
              <w:rPr>
                <w:i w:val="1"/>
                <w:rtl w:val="0"/>
              </w:rPr>
              <w:t xml:space="preserve">euro</w:t>
            </w:r>
            <w:r w:rsidR="00000000" w:rsidRPr="00000000" w:rsidDel="00000000">
              <w:rPr>
                <w:rtl w:val="0"/>
              </w:rPr>
              <w:t xml:space="preserve"> (tai skaitā elastības finansējuma apmērs 14 752 049</w:t>
            </w:r>
            <w:r w:rsidR="00000000" w:rsidRPr="00000000" w:rsidDel="00000000">
              <w:rPr>
                <w:i w:val="1"/>
                <w:rtl w:val="0"/>
              </w:rPr>
              <w:t xml:space="preserve"> euro</w:t>
            </w:r>
            <w:r w:rsidR="00000000" w:rsidRPr="00000000" w:rsidDel="00000000">
              <w:rPr>
                <w:rtl w:val="0"/>
              </w:rPr>
              <w:t xml:space="preserve">) un nacionālais finansējums (pašvaldību līdzfinansējums) – ne mazāk kā 7 817 648 </w:t>
            </w:r>
            <w:r w:rsidR="00000000" w:rsidRPr="00000000" w:rsidDel="00000000">
              <w:rPr>
                <w:i w:val="1"/>
                <w:rtl w:val="0"/>
              </w:rPr>
              <w:t xml:space="preserve">euro</w:t>
            </w:r>
            <w:r w:rsidR="00000000" w:rsidRPr="00000000" w:rsidDel="00000000">
              <w:rPr>
                <w:rtl w:val="0"/>
              </w:rPr>
              <w:t xml:space="preserve"> (tai skaitā elastības finansējuma apmērs 2 603 303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10.punkta nepieciešamību, ņemot vērā, ka noteikumu projekts ir par pasākuma 1.kārtu, kuras finansējums norādīts noteikumu projekta 11.punktā. Vienlaikus lūdzam papildināt noteikumu projekta anotāciju ar informāciju, ka elastības finansējums pasākuma ietvaros plānots 2.kārtā, attiecīgi svītrojot noteikuma projekta 12. punktu. Vienlaikus aicinām papildināt anotāciju ar vispārējo informāciju par pasākumam pieejamo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nodrošina izbūvētās infrastruktūras ekspluatāciju, rezultātu uzturēšanu un apsaimniekošanu pēc projekta īstenošanas (ja attiecināms) un var iesaistīties projekta īstenošanā ar tā īpašumā, valdījumā vai bezatlīdzības turējumā esošu nekustamo īpašumu. Projekta īstenošanas rezultātā izveidotā infrastruktūra ir sadarbības partnera – sabiedrisko ūdenssaimniecības pakalpojumu sniedzēja –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projektā paredzēts arī sadarbības partneris, noteikumu projektā norāda finansējuma saņēmēja un sadarbības partnera sadarbības pamatprincipus, pienākumus un tiesības, mērķu un rādītāju savstarpējo sasniegšanas dalījumu (ja attiecināms). Lūdzam izvērtēt un nepieciešamības gadījumā papildināt noteikumu projektu ar attiecīgu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Projektā iekļauj atbalstāmās darbības, kas ietver investīcijas infrastruktūras izveidei un (vai) atjaunošanai, kā arī tās funkcionalitātes nodrošināšanai (ietverot arī dabā balstītus risinājumus un ar pielāgošanos klimata pārmaiņām saistītu civilās aizsardzības nodrošinājumu), kas paredzētas pašvaldības attīstības programmas investīciju plānā un vērstas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tekstu "kas paredzētas pašvaldības attīstības programmas investīciju plānā", jo prasību idejas iekļaut attīstības programmā nosaka jau iepriekšējie punkti, savukārt šajā punktā jau atrunāta detalizācija, kas attīstības programmā varētu neparādīties un tādējādi praktiski neizpildīsies, piemēram, ka darbība "atjaunot caurtekas, nemainot lietošanas veidu" šādā detalizācijā būs attīstības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iekļauj atbalstāmās darbības, kas ietver investīcijas infrastruktūras izveidei un (vai) atjaunošanai, kā arī tās funkcionalitātes nodrošināšanai (ietverot arī dabā balstītus risinājumus un ar pielāgošanos klimata pārmaiņām saistītu civilās aizsardzības nodrošinājumu), kas vērstas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kompleksiem risinājumiem applūstošo teritoriju, erozijai pakļautu ūdenstilpju un ūdensteču krasta un peldvietu noturības pret klimata pārmaiņām veicināšanu (iekļaujot pasākumus civilās aizsardzības stiprināšanai), prioritāri izmantojot “zaļo” infrastruktūru (“pelēkās” infrastruktūras izmantošana pieļaujama, kombinējot to ar “zaļo” infrastruktūru, un pamatojot nepieciešamību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projektu papildināt ar vēl vienu punktu attiecībā uz neatbalstāmajām darbībām atbilstoši anotācijā minētajam nosacījumam: "(..) netiek atbalstīti tādi plūdu un krasta erozijas pasākumi, kas vērsti uz nacionālas nozīmes plūdu riska teritorijām, kurām atbalsts tiek sniegts 2.1.3.2.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darbībām projektā nepieciešamās ūdenssaimniecības infrastruktūras, elektrotīklu un vājstrāvu tīklu izbūvei vai esošo vājstrāvu tīklu pārbūvei, kā arī nepieciešamās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papildināt ar nosacījumu atbilstoši Anotācijā minētajam: "Izveidotā elektrotīklu un vājstravu tīklu infrastruktūra ir izmantojama tikai projektā jaunizveidotās vai atjaunotās publiskās infrastruktūras darbības nodrošināšanai, piemēram, teritorijas apgaismojuma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klimata pārmaiņām darbībām paredzēto inženierbūvju, labiekārtojuma elementu un dabā balstīto risinājumu tehnisko specifikāciju, tehnisko projektu vai būvprojektu sagatavošanas (tai skaitā ar būvniecības ieceri un būvprojekta minimālā sastāvā saistīto sagatavošanas darbu) izmaksas, būvprojekta ekspertīzes izmaksas, ja ekspertīzes veikšanu nosaka būvniecības jomu regulējošie normatīvie akti, kā arī autoruzraudzības un būvdarbu būvuzraudzības izmaksas, ja to veikšanu nosaka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esošajā redakcijā tas nav saprotams (salīdzinājumā ar iepriekšējo apakšpunkta redakciju, dzēsts vārds "pielāgošanās").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pielāgošanās klimata pārmaiņām darbībām paredzēto inženierbūvju, labiekārtojuma elementu un dabā balstīto risinājumu tehnisko specifikāciju, tehnisko projektu vai būvprojektu sagatavošanas (tai skaitā ar būvniecības ieceri un būvprojekta minimālā sastāvā saistīto sagatavošanas darbu) izmaksas, būvprojekta ekspertīzes izmaksas, ja ekspertīzes veikšanu nosaka būvniecības jomu regulējošie normatīvie akti, kā arī autoruzraudzības un būvdarbu būvuzraudzības izmaksas, ja to veikšanu nosaka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būvdarbu un pakalpojumu līgumu izmaksas, kuru iepirkumu procedūras tiek veiktas saskaņā ar Publisko iepirkumu likumu,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28.3.apakšpunkta nav viennozīmīgi skaidrs, kas domāts ar "pakalpojumu līgumu izmaksas" atsevišķā pozīcijā. Pakalpojumu līgumi būtu, piemēram, pamatojošo dokumentu izstrāde, autoruzraudzība, ekspertu konsultācijas utt., kas jau ir citās pozīcijās. Aicinām precizēt vai svītrot vārdus "un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iekārtu un aprīkojuma iegāde, tai skaitā specializētu transportlīdzekļu iegāde, pašvaldību civilās aizsardzības uzlabošanai, nepārsniedzot 10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skaidri nosakot, kas tiks iegādāts zem izmaksu pozīcijas "iekārtu un aprīkojuma iegāde",  vai tas būs darba vietas aprīkojums vai kas cits.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ekspertu konsultācijas (t.sk. vides pieejamības), kas nepieciešamas projekta sekmīgai realizācijai, nepārsniedzot piecu procentus no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kādas funkcijas un kā plānots attiecināt izmaksas par noteikumu projekta 28.7. apakšpunktā minētajiem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uzkrāj datus par projektā sasniegto šo noteikumu 5. punktā minētajiem rādītājiem (kuri attiecināmi);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ka finansējuma saņēmējs uzkrāj datus par šo noteikumu 5.punktā minēto rādītāju </w:t>
            </w:r>
            <w:r w:rsidR="00000000" w:rsidRPr="00000000" w:rsidDel="00000000">
              <w:rPr>
                <w:b w:val="1"/>
                <w:rtl w:val="0"/>
              </w:rPr>
              <w:t xml:space="preserve">sasniegtajām vērtībām</w:t>
            </w:r>
            <w:r w:rsidR="00000000" w:rsidRPr="00000000" w:rsidDel="00000000">
              <w:rPr>
                <w:rtl w:val="0"/>
              </w:rPr>
              <w:t xml:space="preserve">. Lūdzam papildināt arī ar nosacījumu, ja par 5.2.apakšpunktā minētā nacionālā rādītāja sasniegtajām vērtībām nepieciešams sniegt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uzkrāj datus par šo noteikumu 5.punktā minēto rādītāju, kuri attiecināmi uz projektu, sasniegtajām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ievēro principu "Vienlīdzība, iekļaušana, nediskriminācija un pamattiesību ievērošana” un uzkrāj datus par projekta ietekmi uz horizontālo principu rādītājiem (ja attiecināms), tai skaitā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apakšpunktu, ka finansējuma saņēmējs sniedz sadarbības iestādei informāciju par šo noteikumu 35.2. apakšpunktā minētajiem horizontālo principu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no saviem līdzekļiem sedz projekta īstenošanas gaitā radušās sadārdzinājuma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apvienot ar 32.punktu -  finansējuma saņēmējs sedz visas izmaksas, kas ārpus attiecināmajām un arī sadārdzinājumu.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nodrošina, ka, lai novērstu dubultā finansējuma risku un nodrošinātu projektu demarkāciju, pasākuma ietvaros darbības, kas attiecas uz vienu un to pašu zemesgabalu, ēku, ēkas daļu vai citu pašvaldības, tās izveidotas iestādes vai pašvaldības kapitālsabiedrības, kas veic pašvaldības deleģēto pārvaldes uzdevumu izpildi, īpašumā, valdījumā vai bezatlīdzības turējumā esošu infrastruktūru (tai skaitā, ja uz to piešķirta apbūves tiesība), neiekļauj un nefinansē vairākos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35.8. apakšpunktu aiz vārdiem "vairākos projektos" ar vārdiem "un nodrošina nepārklāšanās principu ar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vārdu “darbības” uz "līdzīgas darbības", jo tikai attiecībā uz līdzīgām darbībām var iestāties dubultā finansējuma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lai novērstu dubultā finansējuma risku un nodrošinātu projektu demarkāciju, pasākuma ietvaros līdzīgas darbības, kas attiecas uz vienu un to pašu zemesgabalu, ēku, ēkas daļu vai citu pašvaldības, tās izveidotas iestādes vai pašvaldības kapitālsabiedrības, kas veic pašvaldības deleģēto pārvaldes uzdevumu izpildi, īpašumā, valdījumā vai bezatlīdzības turējumā esošu infrastruktūru (tai skaitā, ja uz to piešķirta apbūves tiesība), neiekļauj un nefinansē vairākos projektos un nodrošina nepārklāšanās principu ar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Gadījumā, ja pašvaldībai piekritīga zeme uz projekta iesnieguma iesniegšanas brīdi nav ierakstīta zemesgrāmatā un projektā tiek veikti būvdarbi, tās ierakstīšana veicama līdz projekta darbību pabeigšanai – pirms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papildināta anotāciju ar informāciju, vai noteikuma projekta 36. punkts apzināti tiek attiecināts tikai uz pašvaldībām, ņemot vērā, ka no noteikumu projekta 17. punkta izriet, ka projekta iesniedzējs var būt arī pašvaldības izveidota iestāde vai pašvaldības kapitālsabiedrība, kas veic pašvaldības deleģēto pārvaldes uzdevumu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Īstenojot projektu, finansējuma saņēmējs nodrošina informācijas un publicitātes pasākumus saskaņā ar regulas Nr. 2021/1060 47. pantu un 50. pantu un normatīvajiem aktiem par kārtību, kādā Eiropas Savienības fondu vadībā iesaistītās institūcijas nodrošina šo fondu ieviešanu 2021. – 2027. gada plānošanas periodā, kā arī Eiropas Savienības fondu 2021. – 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normatīvajā regulējumā un praksē lietoto jēdzienu "komunikācijas un vizuālās identitātes prasību nodrošināšanas nosacījumi", aicinām izvērtēt un pēc nepieciešamības precizēt noteikumu projekta 37. punktu, kā arī noteikumu projekta 25.8. un 28.8.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šo noteikumu 18. punktā minētā sadarbības partnera īpašumā vai valdījumā esošā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39.2. apakšpunktu analoģiski kā noteikumu projekta 39.3. apakšpunktā attiecībā uz valdījuma tiesību termiņu - "ja valdījuma tiesības ir iegūtas uz termiņu, kas nav īsāks par projekta dzīves ciklu".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saimnieciskā gada ietvaros (piemēram, projekta iesniedzējam ir pabeigts būvdarbu iepirkums vai iepirkumu komisija ir pieņēmusi lēmumu par iepirkuma uzvarētāju, vai noslēgts būvdarbu vai pakalpojumu līgums). Finansējuma saņēmējam avansu var piešķirt līdz 50 procentiem no projektam piešķirtā ERAF finansējuma, ievērojot, ka  avansu var izmaksāt vairākos maksājumos un avansa un starpposma maksājumu kopsumma nepārsniedz 90 procentus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tehniskas prasībām noteikumu projektos neietver piemērus. Ievērojot minēto, rosinām precizēt noteikumu projekta 41.punktu, svītrojot iekavas un vārdus "(piemēram, projekta iesniedzējam ir pabeigts būvdarbu iepirkums vai iepirkumu komisija ir pieņēmusi lēmumu par iepirkuma uzvarētāju, vai noslēgts būvdarbu vai pakalpojumu līgums)", pēc nepieciešamības piemērus iekļaujot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saņēmējs projekta ietvaros, veicot iepirkumus, nodrošina vides prasību integrāciju preču, pakalpojumu un būvdarbu iepirkumos (zaļais publiskais iepirkums), kā arī izvērtē sociāli atbildīga publiskā iepirkuma nosacījumu piemērošanu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ka noteikumu projekta 47. punktā minētais nosacījums ir attiecināms arī uz sadarbības partneri (ja tiek plānoti iepirkumi sadarbības partneru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tekstu (vai skaidri nodalīt), kas attiecas uz visu pasākumu (ieguldījumi 15 stratēģijās un 31 ha), nevis tikai uz pirmo atlases kārtu, jo MKN ir tieši pirmajai atlases kārtai, nevis visam pasākumam. Šis pats attiecas uz anotācijas 8.1.5. un 8.1.6.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 nevis "stratēģijas" ir iznākuma rādītājs, bet gan "projektu ieguldījumi tiek veikti saskaņā ar vismaz ... pašvaldību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piemērs "3) ar mērķi veicināt pielāgošanos klimata pārmaiņām un mazināt to radītos zaudējumus" ​​​ir visa pasākuma mērķis/ideja, tāpēc nav šeit atsevišķi uzskaitāms kā kāds risinājuma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finansējums no 200 000 euro (..)" MKN projekta 15. punktā minimālais limits ir noteikts kopējām attiecināmajām izmaksām nevis ERAF finansējumam. Aicinām salāgot informāciju šeit un MKN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darbības vienā nekustamā īpašuma kadastra robežās drīkst veikt tikai vai nu Pasākuma ietvaros, vai nu 5.1.1.3. pasākuma ietvaros.". Aicinām precizēt uz "līdzīgas darbības", jo tikai attiecībā uz līdzīgām darbībām var iestāties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pašvaldības attīstības programmas investīciju plānā būs iespējams identificēt, kāds pasākums vēl tiks īstenots pašvaldībā, lai pielāgotos klimata pārmaiņām, kas tādējādi nodrošinās arī lielāku iegūto punktu skaitu projektu iesniegumu vērtēšanas procesā." Aicinām precizēt, jo noteikumu projektā tas nav iekļauts, tikai vienā no kvalitātes kritērijiem. Šis pats attiecas uz anotācijas 8.1.1.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ar norādi uz Vides aizsardzības un reģionālās attīstības ministriju, savukārt atbilstošajā apakšsadaļā "Ietekmes apraksts" norādot, ka Vides aizsardzības un reģionālās attīstības ministrija pildīs atbildīgās iestādes funkcijas, savukārt pašvaldības, to izveidotas iestādes, pašvaldības kapitālsabiedrības pildīs finansējuma saņēmēja funkcijas. Lūdzam izvērtēt un atbilstoši papildināt anotācijas 2.1. sadaļu arī par potenciālajiem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anotācijas 6.1. sadaļas apakšsadaļā "Valsts un pašvaldību institūcijas" norādi uz Centrālo finanšu un līgumu aģentūru un Finanšu ministriju, ņemot vērā, ka tās nav piedalījušas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23-TA-2118</w:t>
    </w:r>
    <w:r>
      <w:br/>
    </w:r>
    <w:r w:rsidR="00000000" w:rsidRPr="00000000" w:rsidDel="00000000">
      <w:rPr>
        <w:rtl w:val="0"/>
      </w:rPr>
      <w:t xml:space="preserve">Izdrukāts 25.10.2023.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23-TA-2118</w:t>
    </w:r>
    <w:r>
      <w:br/>
    </w:r>
    <w:r w:rsidR="00000000" w:rsidRPr="00000000" w:rsidDel="00000000">
      <w:rPr>
        <w:rtl w:val="0"/>
      </w:rPr>
      <w:t xml:space="preserve">Izdrukāts 25.10.2023.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Atzinumi_23-TA-2118.docx</dc:title>
</cp:coreProperties>
</file>

<file path=docProps/custom.xml><?xml version="1.0" encoding="utf-8"?>
<Properties xmlns="http://schemas.openxmlformats.org/officeDocument/2006/custom-properties" xmlns:vt="http://schemas.openxmlformats.org/officeDocument/2006/docPropsVTypes"/>
</file>