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8. aprīļa noteikumos Nr. 222 "Ēku energoefektivitātes aprēķina metodes un ēku energosertifikācijas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1</w:t>
            </w:r>
            <w:r w:rsidR="00000000" w:rsidRPr="00000000" w:rsidDel="00000000">
              <w:rPr>
                <w:rtl w:val="0"/>
              </w:rPr>
              <w:t xml:space="preserve"> Ja energoresursu faktisko patēriņu nav iespējams noteikt, jo ēka netiek ilgstoši izmantota, izmanto datus par laika periodu, kad ēka tika ekspluatēta. Patēriņa datiem veic klimatisko apstākļu korekciju;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energoefektivitātes likuma (turpmāk – likums) 3. pants paredz likuma darbības jomu, uz kādu tiek attiecināts ēku energoefektivitātes tiesiskais regulējums, piemēram, likuma 3. panta pirmās daļas 1. un 3. punkts paredz, ka regulējums ir attiecināms uz ekspluatējamām ēkām. Tāpat arī likuma 3. panta otrā daļa paredz dažādas ēkas, kurām likuma prasības nepiemēro. Vēršam uzmanību, ka uz likuma pamata izdotos Ministru kabineta noteikumos nav pieļaujams regulējums, kas neatbilst likuma 3. pantā noteiktajiem likuma piemērošanas kritērijiem. Ievērojot minēto, Tieslietu ministrijas ieskatā kritēriji “ēka netiek ilgstoši izmantota”, “rādītāju vērtības nevar aprēķināt energoresursu patēriņa datu neesamības dēļ” vai “kurās nav energoresursu uzskaites, vai nav iespējams veikt mērījumus” šobrīd pilnā mērā neatbilst likumā noteiktajam tiesiskā regulējuma tvērumam un tos nepieciešams precizēt. Vienlaikus projekta anotācijā nepieciešams sniegt izvērstu skaidrojumu par visiem projektā paredzētajiem gadījumiem, uz kuriem tiks attiecināts projektā paredzētais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25-TA-1556</w:t>
    </w:r>
    <w:r>
      <w:br/>
    </w:r>
    <w:r w:rsidR="00000000" w:rsidRPr="00000000" w:rsidDel="00000000">
      <w:rPr>
        <w:rtl w:val="0"/>
      </w:rPr>
      <w:t xml:space="preserve">Izdrukāts 02.07.2025.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25-TA-1556</w:t>
    </w:r>
    <w:r>
      <w:br/>
    </w:r>
    <w:r w:rsidR="00000000" w:rsidRPr="00000000" w:rsidDel="00000000">
      <w:rPr>
        <w:rtl w:val="0"/>
      </w:rPr>
      <w:t xml:space="preserve">Izdrukāts 02.07.2025.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Atzinumi_25-TA-1556.docx</dc:title>
</cp:coreProperties>
</file>

<file path=docProps/custom.xml><?xml version="1.0" encoding="utf-8"?>
<Properties xmlns="http://schemas.openxmlformats.org/officeDocument/2006/custom-properties" xmlns:vt="http://schemas.openxmlformats.org/officeDocument/2006/docPropsVTypes"/>
</file>