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atbalstu ārējo tirgu apguves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sniedz atbalstu ārējo tirgu apguves aktivitātēm (turpmāk – atbalsta programma), t.sk.;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 gada 3. februāra noteikumu Nr. 108 "Normatīvo aktu projektu sagatavošanas noteikumi" (turpmāk - noteikumi Nr. 108) 100.2. apakšpunktam Ministru kabineta noteikumu 1. punktā raksta (pārraksta) likumā noteikto pilnvarojumu Ministru kabinetam, tādēļ lūdzam attiecīgi precizēt noteikumu projekta 1. punktu, tostarp svītrojot norādi "kārtību kādā sniedz atbalstu ārējo tirgu apguves aktivitātēm (turpmāk – atbalsta programma), t.sk.".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mērķis ir nodrošināt finansējuma pieejamību ārējo tirgu apguves aktivitātēm, kas veicina investīciju piesaisti un eksporta pieaugumu. Plānotā atbalsta saņemšana saistīta ar nepieciešamību nodrošināt investīciju projektu attīstību un eksportspējas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 punkta pirmo teikumu, jo attiecīgā norma ir lieka, kā arī neatbilst juridiskās tehnikas prasībām, ņemot vērā, ka Ministru kabineta noteikumiem netiek rakstīts mērķis, jo mērķis izriet no to izdošanas tiesiskajā pamatā paredzētā likuma pilnvarojuma, kas noteic arī galvenos tā satura virzienus. Kā arī lūdzam izvērtēt un svītrot vai precizēt (piemēram, nepieciešamības gadījumā pārformulējot un nosakot atbalsta mērķi) kā deklaratīvu minētā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Atbalsta programmas īstenošanai ir pieejams finansējums atbilstoši valsts budžetā pieejamajam finansējumam, tajā skaitā šo noteikumu 28. un 29. punktā minētajām attiecināmajām izmaksām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7. punktu ar 1.1. apakšpunktu un norādīt uz konkrētu pieejamā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noteiktā dalības maksa, ja tiek īstenotas darbības, kas minētas šo noteikumu </w:t>
            </w:r>
            <w:r w:rsidR="00000000" w:rsidRPr="00000000" w:rsidDel="00000000">
              <w:rPr>
                <w:rtl w:val="0"/>
              </w:rPr>
              <w:t xml:space="preserve">10.2.</w:t>
            </w:r>
            <w:r w:rsidR="00000000" w:rsidRPr="00000000" w:rsidDel="00000000">
              <w:rPr>
                <w:rtl w:val="0"/>
              </w:rPr>
              <w:t xml:space="preserve"> , </w:t>
            </w:r>
            <w:r w:rsidR="00000000" w:rsidRPr="00000000" w:rsidDel="00000000">
              <w:rPr>
                <w:rtl w:val="0"/>
              </w:rPr>
              <w:t xml:space="preserve">10.3.</w:t>
            </w:r>
            <w:r w:rsidR="00000000" w:rsidRPr="00000000" w:rsidDel="00000000">
              <w:rPr>
                <w:rtl w:val="0"/>
              </w:rPr>
              <w:t xml:space="preserve"> . un </w:t>
            </w:r>
            <w:r w:rsidR="00000000" w:rsidRPr="00000000" w:rsidDel="00000000">
              <w:rPr>
                <w:rtl w:val="0"/>
              </w:rPr>
              <w:t xml:space="preserve">10.4. </w:t>
            </w:r>
            <w:r w:rsidR="00000000" w:rsidRPr="00000000" w:rsidDel="00000000">
              <w:rPr>
                <w:rtl w:val="0"/>
              </w:rPr>
              <w:t xml:space="preserve">apakšpunkto</w:t>
            </w:r>
            <w:r w:rsidR="00000000" w:rsidRPr="00000000" w:rsidDel="00000000">
              <w:rPr>
                <w:rtl w:val="0"/>
              </w:rPr>
              <w:t xml:space="preser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atsauci uz 10.4. apakšpunktu, ņemot vērā, ka attiecīgā atbalstāmā darbība paredz noteiktu ekspertu un aģentu piesaisti, bet neparedz dalību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ārvalstu atbilstošās nozares eksperta pakalpojuma izmaksas eksporta tirgus stratēģijas izstrādei un īstenošanai dalībnieka eksporta tirgos, kā arī tirdzniecības aģentu pakalpojumu piesaistes izmaksas tirgus darbības pārorientācijai, ja tiek īstenotas darbības, kas minētas šo noteikumu </w:t>
            </w:r>
            <w:r w:rsidR="00000000" w:rsidRPr="00000000" w:rsidDel="00000000">
              <w:rPr>
                <w:rtl w:val="0"/>
              </w:rPr>
              <w:t xml:space="preserve">10.1.</w:t>
            </w:r>
            <w:r w:rsidR="00000000" w:rsidRPr="00000000" w:rsidDel="00000000">
              <w:rPr>
                <w:rtl w:val="0"/>
              </w:rPr>
              <w:t xml:space="preserve"> ., </w:t>
            </w:r>
            <w:r w:rsidR="00000000" w:rsidRPr="00000000" w:rsidDel="00000000">
              <w:rPr>
                <w:rtl w:val="0"/>
              </w:rPr>
              <w:t xml:space="preserve">10.2.</w:t>
            </w:r>
            <w:r w:rsidR="00000000" w:rsidRPr="00000000" w:rsidDel="00000000">
              <w:rPr>
                <w:rtl w:val="0"/>
              </w:rPr>
              <w:t xml:space="preserve"> , </w:t>
            </w:r>
            <w:r w:rsidR="00000000" w:rsidRPr="00000000" w:rsidDel="00000000">
              <w:rPr>
                <w:rtl w:val="0"/>
              </w:rPr>
              <w:t xml:space="preserve">10.3. </w:t>
            </w:r>
            <w:r w:rsidR="00000000" w:rsidRPr="00000000" w:rsidDel="00000000">
              <w:rPr>
                <w:rtl w:val="0"/>
              </w:rPr>
              <w:t xml:space="preserve">apakšpunktos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salāgot ar noteikumu projekta 10.4. apakšpunktu, kas atsevišķi paredz arī ārvalstu atbilstošās nozares tirdzniecības aģenta vai eksperta piesaisti eksporta veicināšanai, tirgus darbības pārorientācijai.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Komercdarbības atbalsta piešķiršanas kārtība un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1.3. apakšpunktam lūdzam izvērtēt un papildināt noteikumu projektu ar lēmuma par piešķirtā finansējuma izlietojumu pieņemšanas nosacījumiem un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Līgumos, kurus aģentūra slēdz ar piegādātājiem un pakalpojuma sniedzējiem, avansa maksājumus var paredzēt līdz 100 procentiem no attiecīgā līguma summas atbilstoši aģentūras izstrādātajiem avansa apjoma noteikšanas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108 131. punktu, lūdzam svītrot atsauci uz aģentūras izstrādātajiem avansa apjoma noteikšanas kritērijiem, nepieciešamības gadījumā paredzot uzdevumu aģentūrai šādus kritērijus izstrādāt vai attiecīgos kritērijus nosakot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Atbalsta pretendents atbalstam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minētajām darbībām piesakās atbilstoši saņēmēju atlases noteiktajām prasībām, iesniedzot pieteikumu strukturētā formā valsts platformā biznesa attīstībai www.business.gov.lv.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punktu, paredzot, ka atbalsta saņemšanai pieteikties atbalsta saņēmēji var dažādās formās, ņemot vērā Administratīvā procesa likuma regulējumu, proti, Administratīvā procesa likuma 56.panta pirmā daļā noteic, ka iesniegumu var iesniegt mutvārdos vai rakstveidā, arī elektroniski bez droša elektroniskā paraksta, ja iestāde nodrošina, ka fiziskās personas identitāte ir pārbaudīta saskaņā ar Fizisko personu elektroniskās identifikācijas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Atbalsta pretendents atbalstam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minētajām darbībām piesakās atbilstoši saņēmēju atlases noteiktajām prasībām, iesniedzot pieteikumu strukturētā formā valsts platformā biznesa attīstībai www.business.gov.lv.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iesniedzēji var būt arī privātpersonas un ievērojot indivīda pamattiesības zināt savas tiesības, lūdzam nodrošināt, ka projekta iesniegumu atlase tiek izsludināta un noteikumu projekta 14. punktā ietvertais dokuments (no apraksta izriet, ka tas varētu būt nolikums) tiek publicēts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Publisko iepirkumu likumu, regulu Nr. 2024/2509 un likumu "Par interešu konflikta novēršanu valsts amatpersonu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kā deklaratīvu noteikumu projekta 33.1.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izveidota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kura ietver de minimis atbalsta sniegšanas kārtību saskaņā ar Komisijas regulu Nr. 2023/2831 un normatīvajiem aktiem par de minimis atbalsta uzskaiti un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ka noteikumu projekta 33.2. apakšpunktā netiek dublēts noteikumu projekta 19. punkts, nepieciešamības gadījumā 19. punktu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uz atbalsta piešķiršanas brīdi uz to ir attiecināms kāds no Eiropas Savienības fondu 2021.–2027. gada plānošanas perioda vadības likuma 22. pantā noteiktajiem projekta iesniedzēju izslēgšanas nosacījumiem, ievērojot šī likuma 22.panta otrās sadaļas izņēmumu.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"ievērojot šī likuma 22.panta otrās sadaļas izņēmumu", neskaidrojot attiecīgo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Maksimālā atbalsta summa viena kalendārā gada laikā ir 50 000 euro un  intensitāte,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minētajām darbībām un izmaksām, kas nav saistītas ar komercdarbības atbalstu, ir līdz  85%. Izmaksas, kas tiek segtas nefinanšu un granta veidā un tās tiek sniegts saskaņā ar Komisijas regulu Nr. 2023/2831, tad atbalsta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ar noteikumu projekta anotācijā minēto, ka atbalsta apjoms par šo noteikumu 10. punktā minētajām darbībām vienam atbalsta saņēmējam viena kalendārā gada laikā nepārsniedz 25 000 euro un 30 procentus no pēdējā gada neto apgrozījuma.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Atbalsta saņēmējs, kurš nav pievienotās vērtības nodokļa maksātājs, var attiecināt pievienotās vērtības nodokļa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23. punktā ietverto regulējumu, kas faktiski dublē 22.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Aģentūra un atbalsta saņēmējs nodrošina informācijas pieejamību 10 gadus, skaitot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juridiskās tehnikas prasībām atbilstošu regulējumu, lūdzam noteikumu projekta 26. punktā skaidrot, kādas informācijas pieejamība nodrošināma.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finansējuma saņēmējs vienlaikus darbojas Komisijas regulas Nr. 2023/2831 1. panta 1. punkta "a", "b", "c" vai "d" apakšpunktā minētajās nozarēs vai vairākās citās nozarēs, uz kurām attiecas šīs regulas darbības joma, tas nodrošina šo nozaru darbību vai izmaksu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konsekventu terminoloģiju attiecībā uz noteikumu projektā lietotajiem terminiem "atbalsta saņēmējs" un "finansējuma saņēmējs". Kā arī lūdzam nodrošināt, ka no noteikumu projekta nepārprotami izriet brīdis, ar kuru atbalsta pretendents kļūst par atbalsta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programmas ietvaros aģentūrai, kas nodrošina atbalsta programmas  īstenošanu, kā atbalstāmā darbība ir tās administrēšana, tai skaitā iepirkumu organizēšana.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dublējošu svītrot norādi "kas nodrošina atbalsta programmas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Attiecināmās izmaksas ir aģentūras valsts noteiktās funkcijas īstenošanas nodrošināšanai saskaņā ar Ministru kabineta 2012. gada 11. decembra noteikumiem Nr. 857 "Latvijas Investīciju un attīstības aģentūras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konkrētā regulējuma (arī 28. punkta) nepieciešamību, un attiecīgā gadījumā to ietvert atbilstošā noteikumu projekta nodaļā "II.Atbalstāmo darbību un izmaksu attiecināmības nosacījumi", formulējot konkrētās normas atbilstoši juridiskās tehnikas prasībām, proti, precīzi norādot par kādu darbību nodrošināšanu ir attiecināmas izmaksas. Norādām, ka attiecināmas izmaksas nevar būt visas izmaksas Latvijas Investīciju un attīstības aģentūras nolikumā ietverto funkciju īstenošanai, kas nav noteikumu projekta regulēšanas priekšmets.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nodrošināt noteikumu projektā ietvertā regulējuma atbilstību noteikumu projekta anotācijā ietvertajai informācijai. Tostarp norādām, ka noteikumu projektā pirmšķietami nav norādīts uz atbalstāmo darbību, kas izpaužas kā dalība aģentūras organizētās tirdzniecības misijās un Latvijas augstu valsts amatpersonu vizītēs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ārējo tirgu apguves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noteikumi ārējo tirgu apguves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lietots termins atbalsta saņēmējs –  gala labuma guvējs, kas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 punkta ievaddaļu, svītrojot norādi "Noteikumos lietots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tas ir lielais komersants, kas atbilst Komisijas 2014. gada 17. jūnija Regulas (ES) Nr.  651/2014, ar ko noteiktas atbalsta kategorijas atzīst par saderīgām ar iekšējo tirgu, piemērojot Līguma 107. un 108. pantu (turpmāk – Komisijas regula Nr.  651/2014), tajā skaitā valsts kapitālsabiedrības,  pašvaldības, Speciālo ekonomisko zonu (turpmāk - SEZ) pārvaldes, ostu pārvaldes,  plānošanas reģioni, zinātniskā institūcijas un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apakšpunktu, pabeidzot domu un norādot konkrētu Komisijas 2014. gada 17. jūnija Regulas (ES) Nr.  651/2014, ar ko noteiktas atbalsta kategorijas atzīst par saderīgām ar iekšējo tirgu, piemērojot Līguma 107. un 108. pantu,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piešķir atklātas projektu iesniegumu atlases veidā. Atbalsta saņēmēju projekta iesniegumu iesniegšana atvērta, kamēr pieejams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6. punktu ("atbalsta saņēmēju projekta iesniegumu iesniegšana atvērta)".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ārvalstu atbilstošās nozares eksperta piesaiste eksporta tirgos eksporta tirgus stratēģijas izstrādei un īstenošanai, kā arī ārvalstu tirdzniecības aģenta piesaiste tirgus darbības pārorientācijai ārvalstu atbilstošās nozares tirdzniecības aģenta vai eksperta piesaiste eksporta veicināšanai, tirgus darbības pārorientācijai;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("eksporta tirgos eksporta tirgus").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mērķa tirgus pētījums.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10.8. apakšpunktā precīzi noteikt atbalstāmās darbības saistībā ar mērķa tirgus pētījumu.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minētās atbalstāmās darbības īstenošanai ir attiecināma organizāciju noteiktā dalības maksa, tai skaitā līdzdalības maksa dažādu starptautisku pētījumu izstrādē;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konkrētās izmaksas nepārklājas ar noteikumu projekta 11.1.1. apakšpunktā paredzēto reģistrācijas maksu, un nepieciešamības gadījumā svītrot 11.1.4. apakšpunktu. Līdzīgi lūdzam izvērtēt un nepieciešamības gadījumā svītrot vai precizēt 11.3.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Sniegtais atbalsts tiek piešķirts ar aģentūras lēmumu un ir uzskatāms par komercdarbības atbalstu atbalsta saņēmējam, ievērojot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Lēmuma pieņemšanas diena ir uzskatāma par komercdarbības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"sniegtais", jo tā ir liekvārdība. Papildus aicinām svītrot vārdus "un ir uzskatāms par komercdarbības atbalstu atbalsta saņēmējam, ievērojot šo noteikumu 35. punktā minēto", jo minētais nepārprotami izriet no noteikumu projekta 35.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atbilstot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minētajam, atbalsta intensitāte ir līdz 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20.1. un 20.2. apakšpunktā svītrot atsauces uz šo noteikumu 2.1. apakšpunktu, ņemot vērā, ka minētajā apakšpunktā ietvertā prasība attiecas uz ikvienu atbalsta pretendentu.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Iepirkumus aģentūra un atbalsta saņēmējs (ja attiecināms)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norādot, ko tieši veic un kādi principi ievērojami.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Iepirkumus aģentūra un atbalsta saņēmējs (ja attiecināms) iepirkumus veic atklātā, pārredzamā, nediskriminējošā un konkurenci nodrošinošā procedūrā, sociāli atbildīgā veidā un saskaņā ar normatīvajiem aktiem publisko iepirkumu jomā.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08.05.2025. 19.49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08.05.2025. 19.49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