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romu stratēģiskā ietvara pasākumu īsteno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5.04.2024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5.04.2024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