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5.sadaļu norādot, ka rīkojuma projekts skart Latvijas Republikas starptautiskās saistības un veikt atsauci uz šādiem starptautiskiem līgumiem: 1) 1993.gada 18.augusta Latvijas Republikas valdības un Baltkrievijas Republikas valdības vienošanās par robežas caurlaides punktiem 5. pantu, kas paredz, ka kustība caurlaides punktos var tikt pārtraukta vai ierobežota, ja rodas draudi sabiedrības drošībai; 2) 1999.gada 9.novembra Latvijas Republikas valdības un Baltkrievijas Republikas valdības nolīgums par nosacījumiem Baltkrievijas Republikas kravu tranzītam, izmantojot Latvijas Republikas ostas un citu transporta infrastruktūru; 3) 2010.gada 23.augusta Latvijas Republikas valdības un Baltkrievijas Republikas valdības vienošanās par Latvijas Republikas un Baltkrievijas Republikas pierobežas teritoriju iedzīvotāju savstarpējo braucienu vienkāršošanu; 4) 2013.gada 10.aprīļa Latvijas Republikas valdības un Baltkrievijas Republikas valdības līgums par Latvijas - Baltkrievijas valsts robežas režīmu; 5) 2015.gada 22.maija Protokols par 2010.gada 23.augusta Latvijas Republikas valdības un Baltkrievijas Republikas valdības vienošanās par Latvijas Republikas un Baltkrievijas Republikas pierobežas teritoriju iedzīvotāju savstarpējo braucienu vienkāršošanu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1993.gada 18.augusta Latvijas Republikas valdības un Baltkrievijas Republikas valdības vienošanās par robežas caurlaides punktiem 5.pantam līgumslēdzēja puse, kura nolēmusi pārtraukt vai ierobežot kustību, </w:t>
            </w:r>
            <w:r w:rsidR="00000000" w:rsidRPr="00000000" w:rsidDel="00000000">
              <w:rPr>
                <w:u w:val="single"/>
                <w:rtl w:val="0"/>
              </w:rPr>
              <w:t xml:space="preserve">paziņo</w:t>
            </w:r>
            <w:r w:rsidR="00000000" w:rsidRPr="00000000" w:rsidDel="00000000">
              <w:rPr>
                <w:rtl w:val="0"/>
              </w:rPr>
              <w:t xml:space="preserve"> par to otrai līgumslēdzējai pusei ne mazāk kā </w:t>
            </w:r>
            <w:r w:rsidR="00000000" w:rsidRPr="00000000" w:rsidDel="00000000">
              <w:rPr>
                <w:u w:val="single"/>
                <w:rtl w:val="0"/>
              </w:rPr>
              <w:t xml:space="preserve">piecas dienas pirms</w:t>
            </w:r>
            <w:r w:rsidR="00000000" w:rsidRPr="00000000" w:rsidDel="00000000">
              <w:rPr>
                <w:rtl w:val="0"/>
              </w:rPr>
              <w:t xml:space="preserve"> plānotās caurlaides punkta slēgšanas vai kustības ierobežošanas. Līdz ar to aicinām noteikt rīkojuma spēkā stāšanās datumu, lai Latvijas puse varētu atbilstoši izpildīt savas starptautiskās saistības un informēt Baltkrievijas pusei par robežšķērsošanas vietas "Pāternieki" darbības apturēšanu.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(ECT) judikatūrai Eiropas Cilvēka tiesību un pamatbrīvību aizsardzības konvencija pieprasa, lai personām būtu nodrošināta patiesa un efektīva piekļuve likumīgas ieceļošanas iespējām, tostarp robežprocedūrām, kas ļautu iesniegt patvēruma pieteikumu (skatīt, piemēram,</w:t>
            </w:r>
            <w:r w:rsidR="00000000" w:rsidRPr="00000000" w:rsidDel="00000000">
              <w:rPr>
                <w:i w:val="1"/>
                <w:rtl w:val="0"/>
              </w:rPr>
              <w:t xml:space="preserve"> N.D. un N.T. pret Spāniju </w:t>
            </w:r>
            <w:r w:rsidR="00000000" w:rsidRPr="00000000" w:rsidDel="00000000">
              <w:rPr>
                <w:rtl w:val="0"/>
              </w:rPr>
              <w:t xml:space="preserve">(iesniegums Nrs.8675/15 un 8697/15), ECT Lielās palātas 2020.gada 13.februāra spriedums, 208.-211.rindkopa;</w:t>
            </w:r>
            <w:r w:rsidR="00000000" w:rsidRPr="00000000" w:rsidDel="00000000">
              <w:rPr>
                <w:i w:val="1"/>
                <w:rtl w:val="0"/>
              </w:rPr>
              <w:t xml:space="preserve"> A.A. un citi pret Ziemeļmaķedoniju</w:t>
            </w:r>
            <w:r w:rsidR="00000000" w:rsidRPr="00000000" w:rsidDel="00000000">
              <w:rPr>
                <w:rtl w:val="0"/>
              </w:rPr>
              <w:t xml:space="preserve"> (iesniegums Nr.55798/16), 2022.gada 5.aprīļa spriedums, 114.-116.rindkopa). Ņemot vērā, ka līdz ar robežšķērsošanas vietas “Pāternieki” darbības apturēšanu uz Latvijas-Baltkrievijas robežas vairs nedarbosies neviena sauszemes robežšķērsošanas vieta, aicinām papildināt anotāciju ar skaidrojumu par personām pieejamām likumīgas ieceļošanas iespējām, kas personām ļautu iesniegt patvēruma pieteikumu atbilstoši Latvijas starptautiskajām saistībām cilvēktiesību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03.08.2026.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03.08.2026.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