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26-TA-200: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2024. gada 30. aprīļa noteikumos Nr. 273 "Eiropas Savienības kohēzijas politikas programmas 2021.–2027. gadam 4.1.1. specifiskā atbalsta mērķa "Nodrošināt vienlīdzīgu piekļuvi veselības aprūpei un stiprināt veselības sistēmu, tostarp primārās veselības aprūpes noturību" 4.1.1.1. pasākuma "Ārstniecības iestāžu infrastruktūras attīstība" otrās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 Šo noteikumu </w:t>
            </w:r>
            <w:r w:rsidR="00000000" w:rsidRPr="00000000" w:rsidDel="00000000">
              <w:rPr>
                <w:rtl w:val="0"/>
              </w:rPr>
              <w:t xml:space="preserve">27.1.</w:t>
            </w:r>
            <w:r w:rsidR="00000000" w:rsidRPr="00000000" w:rsidDel="00000000">
              <w:rPr>
                <w:rtl w:val="0"/>
              </w:rPr>
              <w:t xml:space="preserve"> apakšpunktā</w:t>
            </w:r>
            <w:r w:rsidR="00000000" w:rsidRPr="00000000" w:rsidDel="00000000">
              <w:rPr>
                <w:rtl w:val="0"/>
              </w:rPr>
              <w:t xml:space="preserve"> apakšpunktā minētās atbalstāmās darbības ietvaros ir attiecināmas projekta iesniedzēja un sadarbības partnera projekta vadības personāla izmaksas, kas radušās uz darba līguma pamata (izņemot izmaksas, kas radušās šo noteikumu 13.1. apakšpunktā minētajam projekta iesniedzējam un šo noteikumu 14.1. apakšpunktā minētajam sadarbības partnerim) vai uzņēmuma līguma pamata, tai skaitā normatīvajos aktos nodarbinātības jomā noteiktās piemaksas un nodokļi, nepārsniedzot Eiropas Reģionālās attīstības fonda daļas ierobežojumu, ko aprēķina ar minimālo izmaksu bāzi 34 422 euro gadā, pieskaitot 0,64 procentus no projekta tiešajām attiecināmajām izmaksām, bet neieskaitot tiešās projekta vadības personāla izmaksas. Ja projekts ilgst mazāk par gadu vai nepilnus kalendāra gadus, ierobežojumu aprēķina proporcionāli projekta darbību īstenošanas pilnu mēnešu skaitam.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29. punktu, jo tā pašreizējā redakcijā ietvertas neprecīzas atsauces un lietota nekonsekventa terminoloģija. Proti, atsauce uz 13.1. apakšpunktu nav korekta, jo šāds apakšpunkts noteikumos nav ietverts. Savukārt 14.1. apakšpunktā nav paredzēta atsauce uz sadarbības partneri.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vēršam uzmanību, ka tiek lietots jēdziens “sadarbības partneris”, kas noteikumos nav definēts, savukārt citviet tiek izmantots termins “sadarbības iestāde”.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lai nodrošinātu normatīvā akta atbilstību juridiskās tehnikas prasībām un vienotu terminu lietojumu visā noteikumu tekstā, lūdzam precizēt 29. punktu, aizstājot nekorektās atsauces un terminus ar atbilstošiem formulējumiem.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Bernāne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26-TA-200</w:t>
    </w:r>
    <w:r>
      <w:br/>
    </w:r>
    <w:r w:rsidR="00000000" w:rsidRPr="00000000" w:rsidDel="00000000">
      <w:rPr>
        <w:rtl w:val="0"/>
      </w:rPr>
      <w:t xml:space="preserve">Izdrukāts 12.02.2026. 15.57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26-TA-200</w:t>
    </w:r>
    <w:r>
      <w:br/>
    </w:r>
    <w:r w:rsidR="00000000" w:rsidRPr="00000000" w:rsidDel="00000000">
      <w:rPr>
        <w:rtl w:val="0"/>
      </w:rPr>
      <w:t xml:space="preserve">Izdrukāts 12.02.2026. 15.57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Atzinumi_26-TA-200.docx</dc:title>
</cp:coreProperties>
</file>

<file path=docProps/custom.xml><?xml version="1.0" encoding="utf-8"?>
<Properties xmlns="http://schemas.openxmlformats.org/officeDocument/2006/custom-properties" xmlns:vt="http://schemas.openxmlformats.org/officeDocument/2006/docPropsVTypes"/>
</file>