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pašvaldība ir saņēmusi VSIA "Latvijas Valsts ceļi" atzinumu par izglītības iestādes piekļuves ceļu pieejamību, stāvokli, plānotajiem uzlabošanas darbiem vai citiem apstākļiem, ar ko pamato šo noteikumu 16.4. apakšpunktā minētā nosacījuma izpildes neiespējamību līdz 2027. gada 31. augustam.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regulējuma viennozīmīgas interpretācijas nolūkos precizēt noteikumu projekta 17.5. apakšpunktu. No minētā apakšpunkta izriet, ka noteikumu projekta 16.4. apakšpunktā minētais nosacījums par minimālā izglītojamo skaita nodrošināšanu nav attiecināms uz atbalstam izvirzītām izglītības iestādēm, attiecībā uz kurām pašvaldība ir saņēmusi valsts sabiedrības ar ierobežotu atbildību "Latvijas Valsts ceļi" atzinumu par izglītības iestādes piekļuves ceļu pieejamību, stāvokli, plānotajiem uzlabošanas darbiem vai citiem apstākļiem, ar ko pamato noteikumu projekta 16.4. apakšpunktā minētā </w:t>
            </w:r>
            <w:r w:rsidR="00000000" w:rsidRPr="00000000" w:rsidDel="00000000">
              <w:rPr>
                <w:u w:val="single"/>
                <w:rtl w:val="0"/>
              </w:rPr>
              <w:t xml:space="preserve">nosacījuma izpildes neiespējamību līdz 2027. gada 31. augustam</w:t>
            </w:r>
            <w:r w:rsidR="00000000" w:rsidRPr="00000000" w:rsidDel="00000000">
              <w:rPr>
                <w:rtl w:val="0"/>
              </w:rPr>
              <w:t xml:space="preserve">. Vēršam uzmanību, ka no minētās normas neizriet pienākums nodrošināt noteikumu projekta 16.4. apakšpunktā minētā nosacījuma izpildi no 2027.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17.5. apakšpunktu, paredzot, ka noteikumu projekta 16.4. apakšpunktā minētais izglītojamo skaita nosacījums noteikumu projekta 17.5. apakšpunktā minētajā izņēmuma gadījumā tiks nodrošināts no 2027. gada 1. septembra, lai atbilstu pašvaldībām kā potenciālo finansējuma saņēmēju un to izglītības iestādēm izvirzītajām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 Minētās izmaksas, izņemot vēdināšanas un gaisa kondicionēšanas sistēmu izbūves un pārbūves izmaksas, plāno kā papildinošas šo noteikumu 20.2.1., 20.2.2. un 20.5. apakšpunktā minētajām izmaksām, un tās nepārsniedz 25 procentus no šo noteikumu 20.2.1.,  20.2.2. un 20.5. apakšpunktā minētajām būvdarbu attiecināmajām izmaksām. Ja projekta īstenošanas rezultātā paredzēta visu projektā atbalstāmo vispārējās izglītības iestādes klašu telpu mācību vides uzlabošana, iekšējo inženiertīklu izbūves un pārbūves izmaksas, izņemot vēdināšanas un gaisa kondicionēšanas sistēmu izbūves un pārbūves izmaksas, nepārsniedz 25 procentus no projekta kopējām attiecināmajām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administratīvā sloga mazināšanu un vienkāršotu izmaksu aprēķinu procesu, tādējādi samazinot iespējamo kļūdu risku, aicinām izvērtēt iespēju pārskatīt un vienkāršot inženiertīklu izmaksu ierobežojuma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apsvērt iespēju noteikt vienotu inženierkomunikāciju izmaksu ierobežojumu 25% apmērā no projekta kopējām attiecināmajām izmaksām viena projekta ietvaros. Tādējādi gadījumos, kad projekta iesniegumā tiek attīstītas vairākas izglītības iestādes un katrai izglītības iestādei ir atšķirīgs pārbūves apjoms (pilna apmēra pārbūve vai atsevišķu telpu pārbūve), nebūtu katrai skolai jāpiemēro attiecīgais inženiertīklu izmaksu ierobežojums.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Iekšējo inženiertīklu izbūves un pārbūves izmaksas, izņemot vēdināšanas un gaisa kondicionēšanas sistēmu izbūves un pārbūves izmaksas, nepārsniedz 25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Matule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teritorijas labiekārtošanas un drošības nodrošināšanas, tai skaitā attiecīgo elementu iegādes un uzstādīšanas (piemēram, soliņi, celiņi, apgaismojums, žogi, terases, nojumes, videonovērošanas kameras, apsardzes sistēma), izmaksas, nepārsniedzot divus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svītrot 20.8. apakšpunkta daļu - izmaksas, nepārsniedzot divus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izmaksu ierobežojumu minēt 21.punktā "21. Šo noteikumu 20.6., 20.7., </w:t>
            </w:r>
            <w:r w:rsidR="00000000" w:rsidRPr="00000000" w:rsidDel="00000000">
              <w:rPr>
                <w:u w:val="single"/>
                <w:rtl w:val="0"/>
              </w:rPr>
              <w:t xml:space="preserve">20.8. </w:t>
            </w:r>
            <w:r w:rsidR="00000000" w:rsidRPr="00000000" w:rsidDel="00000000">
              <w:rPr>
                <w:rtl w:val="0"/>
              </w:rPr>
              <w:t xml:space="preserve">apakšpunktā minētās izmaksas kopā nepārsniedz 5</w:t>
            </w:r>
            <w:r w:rsidR="00000000" w:rsidRPr="00000000" w:rsidDel="00000000">
              <w:rPr>
                <w:u w:val="single"/>
                <w:rtl w:val="0"/>
              </w:rPr>
              <w:t xml:space="preserve">2</w:t>
            </w:r>
            <w:r w:rsidR="00000000" w:rsidRPr="00000000" w:rsidDel="00000000">
              <w:rPr>
                <w:rtl w:val="0"/>
              </w:rPr>
              <w:t xml:space="preserve"> procentus no projekta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teritorijas labiekārtošanas un drošības nodrošināšanas, tai skaitā attiecīgo elementu iegādes un uzstādīšanas (piemēram, soliņi, celiņi, apgaismojums, žogi, terases, nojumes, videonovērošanas kameras, apsardzes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Matule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20.6. un 20.7. apakšpunktā minētās izmaksas kopā nepārsniedz 50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21.punktā noteiktajā izmaksu ierobežojumā pievienot 20.8.apakšpunktu - par teritorijas labiekārtošanas izmaksām, attiecīgi palielinot izmaksu ierobežojuma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teritorijas labiekārtošanas un drošības nodrošināšanas, tai skaitā attiecīgo elementu iegādes un uzstādīšanas (piemēram, soliņi, celiņi, apgaismojums, žogi, terases, nojumes, videonovērošanas kameras, apsardzes sistēma), izmaksas, </w:t>
            </w:r>
            <w:r w:rsidR="00000000" w:rsidRPr="00000000" w:rsidDel="00000000">
              <w:rPr>
                <w:u w:val="single"/>
                <w:rtl w:val="0"/>
              </w:rPr>
              <w:t xml:space="preserve">nepārsniedzot divus procentus no projekta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20.6., 20.7.</w:t>
            </w:r>
            <w:r w:rsidR="00000000" w:rsidRPr="00000000" w:rsidDel="00000000">
              <w:rPr>
                <w:u w:val="single"/>
                <w:rtl w:val="0"/>
              </w:rPr>
              <w:t xml:space="preserve">, 20.8. </w:t>
            </w:r>
            <w:r w:rsidR="00000000" w:rsidRPr="00000000" w:rsidDel="00000000">
              <w:rPr>
                <w:rtl w:val="0"/>
              </w:rPr>
              <w:t xml:space="preserve">apakšpunktā minētās izmaksas kopā nepārsniedz 5</w:t>
            </w:r>
            <w:r w:rsidR="00000000" w:rsidRPr="00000000" w:rsidDel="00000000">
              <w:rPr>
                <w:u w:val="single"/>
                <w:rtl w:val="0"/>
              </w:rPr>
              <w:t xml:space="preserve">2</w:t>
            </w:r>
            <w:r w:rsidR="00000000" w:rsidRPr="00000000" w:rsidDel="00000000">
              <w:rPr>
                <w:rtl w:val="0"/>
              </w:rPr>
              <w:t xml:space="preserve">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Matule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17.decembra noteikumu Nr.879 “Noteikumi par kritērijiem un kārtību, kādā tiek izvērtēti pašvaldību investīciju projektu pieteikumi aizdevuma saņemšanai” 21.punktu Ministru kabineta 2024. gada 5. marta noteikumi Nr. 159 “Kritēriji un kārtība, kādā tiek izvērtēti pašvaldību investīciju projektu pieteikumi valsts budžeta aizdevuma saņemšanai” ir zaudējuši spēku. Ņemot vērā iepriekš minēto lūdzam precizēt anotācijas 14.lpp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24.09.2025.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24.09.2025.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Atzinumi_25-TA-1639.docx</dc:title>
</cp:coreProperties>
</file>

<file path=docProps/custom.xml><?xml version="1.0" encoding="utf-8"?>
<Properties xmlns="http://schemas.openxmlformats.org/officeDocument/2006/custom-properties" xmlns:vt="http://schemas.openxmlformats.org/officeDocument/2006/docPropsVTypes"/>
</file>