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26-TA-1048: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5. decembra noteikumos Nr. 723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4.3.3.6. pasākuma "Nodarbinātības valsts aģentūras veiktspējas stiprināšana un pakalpojumu modernizēšana"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6.4. sadaļā sniegto informāciju, ņemot vērā, ka tā attiecas uz 4.3.3.2. pasākuma "Nelabvēlīgākā situācijā esošu bezdarbnieku un ekonomiski neaktīvo iedzīvotāju iekļaušanās darba tirgū sekmēšana" īstenošanas nosacījumiem, nevis uz šo noteikumu projektu par 4.3.3.6. pasākuma "Nodarbinātības valsts aģentūras veiktspējas stiprināšana un pakalpojumu modernizēšana" īstenošanas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 īstermiņa darba tirgus prognozēšanas sistēmas un prognožu atspoguļošanas platformas pilnveide un prognožu veikšana;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noteikumu grozījumu projekts paredz svītrot daļu no 13.5. apakšpunktā noteiktajām atbalstāmajām darbībām, lūdzam izvērtēt šo darbību atbilstību Eiropas Savienības kohēzijas politikas programmas 2021.-2027. gadam (turpmāk – Programma) nosacījumiem, tai skaitā konkrētā specifiskā atbalsta mērķa mērķim un Programmas grozījumiem, kas tiek apstiprināti vai izskatīti paralēli šim noteikumu grozījumu projektam. Vēršam uzmanību, ka Programmā kā atbalstāmās darbības ir paredzēti </w:t>
            </w:r>
            <w:r w:rsidR="00000000" w:rsidRPr="00000000" w:rsidDel="00000000">
              <w:rPr>
                <w:b w:val="1"/>
                <w:rtl w:val="0"/>
              </w:rPr>
              <w:t xml:space="preserve">aktīvās darba tirgus politikas (ADTP) pasākumu monitoringa un ietekmes novērtējumi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ja tiek paredzēta daļas no 13.5. apakšpunktā noteiktajām atbalstāmajām darbībām svītrošana, anotācijā nepieciešams sniegt izvērtējumu par ierosināto grozījumu ietekmi uz specifiskā atbalsta mērķa un noteikto rādītāju sasniegšanu, kā arī, ja nepieciešams, noteikumu grozījumu projektā paredzēt atbilstošus pārejas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Zariņa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finansējuma saņēmēja projekta vadības un projekta īstenošanas personāla izmaksas (turpmāk – personāla izmaksas), piemērojot vienoto likmi 20 procentu apmērā no šo noteikumu 14.1. apakšpunktā minētajām pārējām tiešajām attiecināmajām izmaksām, kas nav personāla izmaksas. Minētās personāla izmaksas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projektā plāno kā vienu izmaksu pozīciju;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vienotās likmes aprēķinā dati ir mainījušies, lūdzam atsūtīt Eiropas Savienības fondu vadošajai iestādei precizēto aprēķinu failu.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Ance Rudzīte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26-TA-1048</w:t>
    </w:r>
    <w:r>
      <w:br/>
    </w:r>
    <w:r w:rsidR="00000000" w:rsidRPr="00000000" w:rsidDel="00000000">
      <w:rPr>
        <w:rtl w:val="0"/>
      </w:rPr>
      <w:t xml:space="preserve">Izdrukāts 31.08.2026. 18.19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26-TA-1048</w:t>
    </w:r>
    <w:r>
      <w:br/>
    </w:r>
    <w:r w:rsidR="00000000" w:rsidRPr="00000000" w:rsidDel="00000000">
      <w:rPr>
        <w:rtl w:val="0"/>
      </w:rPr>
      <w:t xml:space="preserve">Izdrukāts 31.08.2026. 18.19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Atzinumi_26-TA-1048.docx</dc:title>
</cp:coreProperties>
</file>

<file path=docProps/custom.xml><?xml version="1.0" encoding="utf-8"?>
<Properties xmlns="http://schemas.openxmlformats.org/officeDocument/2006/custom-properties" xmlns:vt="http://schemas.openxmlformats.org/officeDocument/2006/docPropsVTypes"/>
</file>