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1.6. sadaļā precizēt, ka KP VIS virsprojekta datu līmenī datus par 113. atskaites punkta svītrošanu un 114. mērķrādītāja precizēšanu nodrošinās koordinējošā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Timermane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6.2.apakšpunktā norādīts, ka no Labklājības ministrijas īstenotās 3.1.2.1.i.investīcijas pirmās kārtas “Valsts un pašvaldību ēku vides pieejamības nodrošināšanas pasākumi” (turpmāk - 3.1.2.1.i.investīcijas pirmā kārta) pieejamā finansējuma plānots pārdalīt finansējuma atlikumu 38 409 </w:t>
            </w:r>
            <w:r w:rsidR="00000000" w:rsidRPr="00000000" w:rsidDel="00000000">
              <w:rPr>
                <w:i w:val="1"/>
                <w:rtl w:val="0"/>
              </w:rPr>
              <w:t xml:space="preserve">euro </w:t>
            </w:r>
            <w:r w:rsidR="00000000" w:rsidRPr="00000000" w:rsidDel="00000000">
              <w:rPr>
                <w:rtl w:val="0"/>
              </w:rPr>
              <w:t xml:space="preserve">apmērā uz Labklājības ministrijas īstenoto 3.1.2.1.i.investīcijas otro kārtu “Atbalsta pasākumi cilvēkiem ar invaliditāti mājokļu vides pieejamības nodrošināšanai”, savukārt Ministru kabineta noteikumu “Grozījumi Ministru kabineta 2023.gada 5.septembra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 projekta (25-TA-1659) anotācijas 1.3.apakšsadaļas punkta “Risinājuma apraksts” 3.punktā no 3.1.2.1.i.investīcijas pirmās kārtas pārdalāmais finansējums norādīts 38 410 </w:t>
            </w:r>
            <w:r w:rsidR="00000000" w:rsidRPr="00000000" w:rsidDel="00000000">
              <w:rPr>
                <w:i w:val="1"/>
                <w:rtl w:val="0"/>
              </w:rPr>
              <w:t xml:space="preserve">euro </w:t>
            </w:r>
            <w:r w:rsidR="00000000" w:rsidRPr="00000000" w:rsidDel="00000000">
              <w:rPr>
                <w:rtl w:val="0"/>
              </w:rPr>
              <w:t xml:space="preserve">apmērā, attiecīgi lūdzam salāgot abu kārtu pārdalāmā finansējuma apmēru, attiecīgi veicot atbilstošus precizējumus attiecīgajā Ministru kabineta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Pasākumu īsteno līdz 2026.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finansējuma saņēmējiem ir skaidri atlases īstenošanas nosacījumi, aicinām pārskatīt noteikumu 33.punktā noteikto pasākuma īstenošanas termiņu, sasaistot norādīto termiņu ar noteikumu 23.3.1.(prim) norādīto noslēguma maksājuma pieprasījuma iesniegšanas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Timermane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19.12.2025.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Atzinumi_25-TA-1658.docx</dc:title>
</cp:coreProperties>
</file>

<file path=docProps/custom.xml><?xml version="1.0" encoding="utf-8"?>
<Properties xmlns="http://schemas.openxmlformats.org/officeDocument/2006/custom-properties" xmlns:vt="http://schemas.openxmlformats.org/officeDocument/2006/docPropsVTypes"/>
</file>