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darbības kārtības noteikumi un daudzgadu darbības programma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10.05.2023. 08.55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10.05.2023. 08.55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