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amatpersonu ar speciālajām dienesta pakāpēm dalību Eiropas Savienības misijā Armēnijā (</w:t>
      </w:r>
      <w:r w:rsidR="00000000" w:rsidRPr="00000000" w:rsidDel="00000000">
        <w:rPr>
          <w:i w:val="1"/>
          <w:rtl w:val="0"/>
        </w:rPr>
        <w:t xml:space="preserve">EUM Armenia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vēstule par LV ekspertu atlasi dalībai EUM Armenia)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(LV ekspertu Deployment Form)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 sadaļas ietekmes tabulu 2024. gadam, summu 23 472 norādīt ailē “izmaiņas, salīdzinot ar vidēja termiņa budžeta ietvaru”.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Ivulāne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23-TA-570</w:t>
    </w:r>
    <w:r>
      <w:br/>
    </w:r>
    <w:r w:rsidR="00000000" w:rsidRPr="00000000" w:rsidDel="00000000">
      <w:rPr>
        <w:rtl w:val="0"/>
      </w:rPr>
      <w:t xml:space="preserve">Izdrukāts 13.03.2023.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23-TA-570</w:t>
    </w:r>
    <w:r>
      <w:br/>
    </w:r>
    <w:r w:rsidR="00000000" w:rsidRPr="00000000" w:rsidDel="00000000">
      <w:rPr>
        <w:rtl w:val="0"/>
      </w:rPr>
      <w:t xml:space="preserve">Izdrukāts 13.03.2023.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