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tīkls</w:t>
            </w:r>
            <w:r w:rsidR="00000000" w:rsidRPr="00000000" w:rsidDel="00000000">
              <w:rPr>
                <w:rtl w:val="0"/>
              </w:rPr>
              <w:t xml:space="preserve"> – komutācijas aparatūras un ar to saistīto tehnisko resursu kopums, kas savstarpēji savienots ar sakaru kanāliem;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neskaidrot terminus, kuri skaidroti vai lietoti likumos (jo īpaši noteikumu projekta izdošanas pamatā), proti, terminus "tīkls" un "žurnālfaili".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valsts informācijas sistēmu savietotājiem, valsts platformām un integrētā valsts informācijas sistēmā ietilpstošajām valsts informācijas sistēmām, ciktāl tie nav pretrunā ar normatīvajiem aktiem par valsts informācijas 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un papildināt noteikumu projekta anotāciju ar detalizētu skaidrojumu par normatīvo aktu par valsts informācijas sistēmu darbību piemērošanu kontekstā ar noteikumu projektu. Proti, no noteikumu projekta un tā anotācijas neizriet, vai noteikumu projektā paredzētas speciālās prasības iepretim minētajiem normatīvajiem aktiem par valsts informācijas sistēmu darbību (šādā gadījumā norāde "ciktāl tie nav pretrunā ar normatīvajiem aktiem par valsts informācijas sistēmu darbību" neatbilst minētajam specialitātes sakaram) vai otrādi, un kādos gadījumos varētu veidoties pretrunas, turklāt norāde, ka noteikumi attiecas (bet ne, ka noteikumi piemērojami v.tml.) vienīgi gadījumā, ciktāl tie nav pretrunā ar citiem normatīvajiem aktiem, neatbilst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paredzēts speciālais regulējums, būtu pieļaujama šāda norma, tomēr attiecīgā gadījumā runa būs vienīgi par Ministru kabineta noteikumiem par valsts informācijas sistēmu darbību, nevis likumā ietvertu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Normatīvie akti par valsts informācijas sistēmu darbību piemērojami, ciktāl šajos noteikumos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Noteikumos ietvertās kiberrisku pārvaldības pasākumu tehniskās un metodiskās prasības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20. panta</w:t>
            </w:r>
            <w:r w:rsidR="00000000" w:rsidRPr="00000000" w:rsidDel="00000000">
              <w:rPr>
                <w:rtl w:val="0"/>
              </w:rPr>
              <w:t xml:space="preserve"> 1. punktā, 2. punktā, 4. punktā, 8. punkta “s”, “t”, “u” un “v” apakšpunktā, </w:t>
            </w:r>
            <w:r w:rsidR="00000000" w:rsidRPr="00000000" w:rsidDel="00000000">
              <w:rPr>
                <w:rtl w:val="0"/>
              </w:rPr>
              <w:t xml:space="preserve">21. panta</w:t>
            </w:r>
            <w:r w:rsidR="00000000" w:rsidRPr="00000000" w:rsidDel="00000000">
              <w:rPr>
                <w:rtl w:val="0"/>
              </w:rPr>
              <w:t xml:space="preserve"> pirmās daļas 2. punkta “l”, “m”, “n” apakšpunktā un 6. punktā minētajiem subjektiem piemēro, ciktāl tās nav pretrunā ar Eiropas Komisijas 2024. gada 17. oktobra Īstenošanas regulu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(turpmāk – regula </w:t>
            </w:r>
            <w:r w:rsidR="00000000" w:rsidRPr="00000000" w:rsidDel="00000000">
              <w:rPr>
                <w:rtl w:val="0"/>
              </w:rPr>
              <w:t xml:space="preserve">2024/2690</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2018.gada 11.decembra direktīvas Nr.2018/1972/ES par Eiropas Elektronisko sakaru kodeksa izveidi pārņemšanu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ieviešanu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anotācijas 5.4. apakšsadaļas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daļa informācijas par noteikumu projekta vienībām, ar kurām pārņemtas direktīvas prasības, aizpildīta acīmredzami nekorekti (piem., par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(turpmāk - direktīva Nr. 2022/2555) prasību pārņemšanu noteikumu projekta 90. punktā, 25.4. apakšpunktā, 36. punktā, 4.1., 4.4. sadaļā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noteikumu projekta anotācijā direktīvas Nr. 2022/2555 11. panta 3. punkta (jo īpaši "b", "d" un "h" apakšpunkta), 21. panta 3. punkta (norādot precīzas noteikumu projekta vienības, kas paredz katra no 3. punkta teikumiem, pārņemšanu), 23. panta 3. punkta apakšpunktu, 25. panta, 33. panta 3. punkta "d"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salāgojot noteikumu projekta anotācijā ietverto informāciju ar Nacionālās kiberdrošības likuma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direktīvas Nr. 2022/2555 24. panta 1. punktā paredzēta rīcības brīvība, lūdzam papildināt 5.4. apakšsadaļas 1. tabulu ar skaidrojumu par minētās rīcības brīvības izmantošanu vai neizmantošanu (arī to, kā rīcības brīvība tikusi izmantota) un apsvērumiem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106. panta pirmais teikums paredz ikvienam tiesības brīvi izvēlēties nodarbošanos un darbavietu atbilstoši savām spējām un kvalifikācijai. Satversmes tiesa ir atzinusi, ka Satversmes 106. panta pirmais teikums tieši negarantē tiesības uz darbu, bet gan tiesības brīvi izvēlēties nodarbošanos un darbavietu (sk., piemēram, Satversmes tiesas 2021. gada 25. marta sprieduma lietā Nr. 2020-36-01 12. punktu). Tiesības brīvi izvēlēties nodarbošanos aizsargā personu pret valsts darbībām, kas šo brīvību ierobežo. Taču tas neliedz valstij noteikt prasības, kādām personai jāatbilst, lai tā tiesības uz konkrētu nodarbošanos varētu īstenot. Likumdevējam ir rīcības brīvība izvirzīt prasības attiecībā uz konkrētu profesionālo darbību, ciktāl tas nepieciešams sabiedrības interesēs (sk. Satversmes tiesas 2024. gada 23. maija sprieduma lietā Nr.  2023-34-01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ikviena pamattiesību ierobežojuma pamatā ir jābūt apstākļiem un argumentiem, kādēļ tas vajadzīgs, jo ierobežojums tiek noteikts svarīgu interešu - leģitīma mērķa - labad. Noskaidrojot, vai pamattiesību ierobežojums ir samērīgs, ir nepieciešams pārbaudīt, vai ierobežojums ir piemērots tā leģitīmo mērķu sasniegšanai, proti, vai ar izraudzītajiem līdzekļiem var sasniegt leģitīmos mērķus. Pamattiesību ierobežojums ir nepieciešams, ja nav citu līdzekļu, kuri būtu tikpat iedarbīgi un kurus izvēloties personas pamattiesības tiktu ierobežotas mazāk. Vērtējot pamattiesību ierobežojuma atbilstību leģitīmajiem mērķiem, jāpārliecinās arī par to, vai nelabvēlīgās sekas, kas personai rodas tās pamattiesību ierobežojuma rezultātā, nav lielākas par labumu, ko no šā ierobežojuma gūst sabiedrība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izvērstu un pamatotu skaidrojumu attiecībā uz pārvaldniekiem izvirzāmajām prasībām, kuras ir ietvertas noteikumu projekta 12., 13., 14. un 15.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skaidrojumu noteikumu projekta 12. punkta apakšpunktos uzskaitītajiem kritērijiem, kuriem ir jāatbilst fiziskai personai, tai skaitā skaidrojot kritēriju nepieciešamību un samērīgumu. Vienlaikus ņemot vērā, ka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w:t>
            </w:r>
            <w:r w:rsidR="00000000" w:rsidRPr="00000000" w:rsidDel="00000000">
              <w:rPr>
                <w:rtl w:val="0"/>
              </w:rPr>
              <w:t xml:space="preserve">12.2.</w:t>
            </w:r>
            <w:r w:rsidR="00000000" w:rsidRPr="00000000" w:rsidDel="00000000">
              <w:rPr>
                <w:shd w:fill="#ffffff" w:val="clear"/>
                <w:rtl w:val="0"/>
              </w:rPr>
              <w:t xml:space="preserve">–</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apakšpunkta prasībām, ja būtisko pakalpojumu sniedzēja kapitāla daļas īpašnieks ir NATO, Eiropas Savienības vai Eiropas Savienības zonas valstī reģistrēta privāto tiesību juridiskā persona vai šīs valsts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skaidrojumu noteikumu projekta 14. punktā ietvertajām prasībām un kritērijiem. Vienlaikus ņemot vērā, ka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Svarīgo pakalpojumu sniedzējs, kurš nav IKT kritiskās infrastruktūras īpašnieks vai tiesiskais valdītājs, par kiberdrošības pārvaldnieku nosaka fizisku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noteikumu projekta anotācijā noteikumu projekta 15. punktā noteiktajām prasībām un kritērijiem, kuriem cita starpā ir jāatbilst fiziskai personai, tai skaitā skaidrojot kritēriju nepieciešamību un samērīgumu. Vienlaikus ņemot vērā, ka minētās prasības tiks izvirzītas arī privāttiesību subjektiem, kur darba devējam vispārējā kārtībā ir tiesības noteikt savu darbinieku atlases kritērijus, attiecīgi ar šādu prasību valsts iejauksies darba devēja un darba ņēmēja privāttiesisko attiecību tvērumā.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IKT kritiskās infrastruktūras īpašnieks vai tiesiskais valdītājs kiberdrošības pārvaldnieku nosaka uz termiņu līdz 3 gadiem. Ne vēlāk kā 3 mēnešus pirms noteiktā kiberdrošības pārvaldnieka termiņa beigām, IKT kritiskās infrastruktūras īpašnieks vai tiesiskais valdītājs paziņo par kiberdrošības pārvaldnieka termiņa pagarināšanu vai jauna kiberdrošības pārvaldnieka noteikšanu, iesniedzot Nacionālajam kiberdrošības centram un Satversmes aizsardzības birojam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17. punkta otrajā teikumā ietvertā regulējuma (proti, termiņa) atbilstību Nacionālās kiberdrošības likuma 25. panta otrajā daļā noteiktajam. Ja attiecīgu skaidrojumu nav iespējams sniegt, lūdzam precizēt minētajā teikumā ietverto termiņu, salāgojot arī ar noteikumu projekta 11.2.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23., 24. un 170. punktu un 157.6. apakšpunktu. Norādām, ka Informācijas atklātības likums attiecas vienīgi uz iestādēm, savukārt subjekti var būt arī privātpersonas, turklāt ar Ministru kabineta noteikumiem nav pieļaujams noteikt informācijai ierobežotas pieejamības statusu (sk. informācijas atklātības likuma 5.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IS27001 standartā noteiktiem principiem, viens no drošības pārvaldnieka pienākumiem ir Riska pārvaldība(Identificēt, novērtēt un pārvaldīt informācijas drošības riskus. Tas ietver riska pārvaldības un risku apstrādes plānu izstrādi) un darbības nepārtrauktības plāna izstrāde/uzturēšana.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šo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personai par kiberrisku pārvaldības un IKT darbības nepārtrauktības plāna izstrādi, pārskatīšanu un aktualizēšanu, kā arī par plānā ietverto pasākumu īstenošanu.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45. punktā minētās personas atbilst attiecīgi šo noteikumu 12., 16. un 17.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16. un 17. punktā nav noteiktas papildu prasības, lūdzam svītrot atsauces uz minētajiem punktiem noteikumu projekta 46. punktā, kā arī nepieciešamības gadījumā svītrot noteikumu projekta 48. punktu, bet papildināt noteikumu projetka 49. punktu ar atsauci uz 16. un 17. punktā noteikto, tādējādi nedublējot noteikumu projekta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 iekšējā tīklā tehnisko resursu administrēšanai paredzētās datu plūsmas (administratīvais segments) ir nodalītas no lietotāju ikdienas darbam ar informācijas sistēmu paredzētās datu plūsmas (lietotāju segments);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59.6. apakšpunktā ietverto prasību varētu būt apgrūtinoši realizēt praksē, lūdzam atbilstoši precizēt vai noteikumu projekta anotācijā skaidrot minētās prasības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"59.6. informācijas sistēmu darbībai paredzētās datu plūsmas ir nodalītas no lietotāju ikdienas darbam ar informācijas sistēmu paredzētās datu plūsmas;"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61.punkta nepieciešamo pamatojumu, proti, lūdzam sniegt pamatojumu anotācijā noteikumu projekta 61. punkta apakšpunktos noteiktajiem datu glabāšanas termiņam katrai kategorijai. Vienlaikus skaidrojam, ka atbilstoši Eiropas Parlamenta un Padomes 2016. gada 27. aprīļa Regulas (ES) 2016/679 par fizisku personu aizsardzību attiecībā uz personas datu apstrādi un šādu datu brīvu apriti un ar ko atceļ Direktīvu 95/46/EK (Vispārīgā datu aizsardzības regula), 5. panta 1. punkta "e" apakšpunktā ietvertajam glabāšanas ierobežojuma principam, personas datus glabā tikai tik ilgi, kamēr tie ir nepieciešami nolūkiem, kuros to apstrādā. Papildus norādāms, ka minētajā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par žurnālfailu pārvaldību atbildīgajai personai.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 sadaļā skaidrot ierobežojumu noteikšanu attiecībā uz vairāku amatu izpildi, proti, ka to var darīt vienīgi noteiktu valstu pilsoņu, jo īpaši, bet ne tikai, vienīgi Latvijas pilsoņi atbilstību Līgumā par Eiropas Savienību (turpmāk - LESD) nostiprinātajiem brīvas kapitāla aprites un darba ņēmēju pārvietošanās brīvības principiem. Proti, nepieciešams sākotnēji pamatot, vai projektā paredzētie ierobežojumi ir attiecīgo LESD normu darbības jomā (t.i., 45. un 63. panta), kā arī šādā gadījumā sniedzams pamatots skaidrojums par noteikumu projektā paredzēto ierobežojumu atbilstību minēto principu ierobežojumu attaisnojamības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A klases informācijas sistēmai – iepriekšējā dienā,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scenārija neviens nevar būt drošs, ka kaut kādā datumā izveidota gada kopija būs izmantojama sistēmas atjaunošanai un tā saturēs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ka  izziņā norādītie riski var tikt mazināti ar šiem datu rezerves kopēšanas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nozagšana nav attiecināma uz 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-nesankcionēta izmainīšana - var tik konstatēta, ja izmaiņas būs redzamas tieši noteiktās dienas kopijā, tāpēc šī kopiju veidošana ir nesamērigi liels ieguldījums ar mazu riska mazināšanas faktoru. Šeit lietderīgāk būt izmantot žurnālierakstu analīzes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-sašifrēšana vai iznīcināšana - tiks pamanīta dažu dienu laikā pēc šīs darbības veikšanas un tādējādi būs izmantojam pēdējo dienu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informācijas sistēmai – katrā no iepriekšējām četrpadsmit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B klases informācijas sistēmai – iepriekšējā nedēļā, iepriekšējā mēnesī,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kopēšanas mērķis ir atjaunot sistēmas darbību pēc tehnisko resursu bojājuma nevis atgriezties kādā no versijām, kas vairs faktiski (gadu veca kopija) nav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scenārija neviens nevar būt drošs, ka kaut kādā datumā izveidota gada kopija būs izmantojama sistēmas atjaunošanai un tā saturēs nepieciešamos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Nepiekrītu, ka  izziņā norādītie riski var tikt mazināti ar šiem datu rezerves kopēšanas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nozagšana nav attiecināma uz šo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-nesankcionēta izmainīšana - var tik konstatēta, ja izmaiņas būs redzamas tieši noteiktās dienas kopijā, tāpēc šī kopiju veidošana ir nesamērigi liels ieguldījums ar mazu riska mazināšanas faktoru. Šeit lietderīgāk būt izmantot žurnālierakstu analīzes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-sašifrēšana vai iznīcināšana - tiks pamanīta dažu dienu laikā pēc šīs darbības veikšanas un tādējādi būs izmantojam pēdējo dienu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kategorijas informācijas sistēmai – iepriekšējās septiņas dienās,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atbildīgajai personai par rezerves kopiju veidošanu, glabāšanu, pārbaudi un dzēšanu. Norādām, ka Ministru kabinets var izdot ārējos normatīvos aktus tikai tad, ja likums tam īpaši piešķir šādas tiesības. Ņemot vērā minēto un to, ka šāds ierobežojums skar personas pamattiesības, kuras ir nostiprinātas Satversmes 106. pantā, lūdzam svītrot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77. punktā nav norādīts uz personu, savukārt noteikumu projekta 80. punktā norādīts uz vairākām personām, tādēļ lūdzam atbilstoši precizēt noteikumu projekta 85., 86., 87. un 88. punktā ietvertās attiecīgās atsauces,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subjekta nodarbinātā IKT personāla apmācības kiberrisku pārvaldības un IKT darbības nepārtrauktības pasākumu efektīvai īstenošanai – vismaz reizi kalendārajā gadā. Kiberdrošības pārvaldnieks ir tiesīgs organizēt papildu apmācības, piemēram, identificējot jaunu būtisku risku, ievainojamību vai kiberapdraudējumu;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89.2. apakšpunktā vai tā anotācijā skaidrot, kāds risks būtu novērtējams kā būtisks (nepieciešamības gadījumā - piemērveidā). Līdzīgi lūdzam noteikumu projekta 135. punktā vai tā anotācijā skaidrot, kādas izmaiņas uzskatāmas par būtiskām u.tml. Vēršam uzmanību, ka norāde uz būtiskumu ir subjektīva un varētu būt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minimālo pieļaujamo šifrēšanas aizsardzības (noturības) līmeni, ņemot vērā informācijas resursu konfidencialitātes līmeni un šo noteikumu </w:t>
            </w:r>
            <w:r w:rsidR="00000000" w:rsidRPr="00000000" w:rsidDel="00000000">
              <w:rPr>
                <w:rtl w:val="0"/>
              </w:rPr>
              <w:t xml:space="preserve">95.</w:t>
            </w:r>
            <w:r w:rsidR="00000000" w:rsidRPr="00000000" w:rsidDel="00000000">
              <w:rPr>
                <w:rtl w:val="0"/>
              </w:rPr>
              <w:t xml:space="preserve"> punktā minēto vadlīniju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"šo noteikumu 95. punktā minēto vadlīniju ieteikumus", ievērojot Ministru kabineta 2009. gada 3. februāra noteikumos Nr. 108 "Normatīvo aktu projektu sagatavošanas noteikumi" 131.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likumdevējs direktīvā Nr. 2022/2555 ir norādījis, ka ar direktīvu ir respektētas pamattiesības un ievēroti principi, kas atzīti Hartā, jo īpaši tiesības uz privātās dzīves un saziņas neaizskaramību, tiesības uz personas datu aizsardzību, uzņēmējdarbības brīvība, tiesības uz īpašumu, tiesības uz efektīvu tiesību aizsardzību tiesā un taisnīgu tiesu, nevainīguma prezumpcija un aizstāvības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regulējumam ir jābūt ar tiesībām uz efektīvu aizsardzību tiesā īstenojot tiesības uz taisnīgu tiesību, attiecīgi nepieciešams izvērtēt noteikumu projekta prasības, kritērijus, kārtību, pamattiesību ierobežojumu samērīgumu, robežas, tai skaitā, nosakot to kā tiks nodrošinātas tiesības uz efektīvu tiesību aizsardzību tiesā, tiesības taisnīgu tiesu, nevainīguma prezumpcija un aizstāvības tiesības, gadījumā, ja ar regulējumu tiks nepamatoti ierobežotas direktīvā Nr. 2022/2555 uzsvērtās un arī no Satversmes izrietošās pamattiesības.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noteikumu projekta anotācijā un nepieciešamības gadījumā precizēt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A klases informācijas sistēmas vai tās elementu izvietošana ārpakalpojuma sniedzēja nodrošinātos tehniskajos resursos ir atļauta tikai tad, ja A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pamatojumu noteikumu projekta 100. punktam, skaidri norādot, ka noteikumu projekta 100. punkts neparedz diskriminējošas prasības attiecībā uz programmatūras un iekārtas ražotāju piegādātāju pilsonības valsti. No noteikumu projekta pašreizējās redakcijas, izmantojot gramatisko interpretācijas metodi, ir nolasāms, ka minētā prasība attiecas uz ārpakalpojuma sniedzēju, taču, ņemot vērā Tieslietu ministrijas iepriekšējā atzinumā paustās bažas, ir nepieciešams laikus novērst nepamatotu tiesību normu interpretāciju, ka ar šo normu varētu tikt radīts nepamatotas diskriminējošas prasības attiecībā uz ārpakalpojuma sniedzēja nodrošināto, piegādāto, uzstādīto programmatūru vai iekārtu (pēc programmatūras vai iekārtas izcelsmes valsts, pilsonības). Ņemot vērā minēto, lūdzam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minētā prasība ir nepieciešama, ņemot vērā to, ka attiecīgajam subjektam jau ir jāatbilst noteikumu projekta 99. un 111. punktā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citas valsts teritorijā, ja ir saņemts Satversmes aizsardzības biroja atzinums, ka ir pieļaujama A klases informācijas sistēmas vai tās elementu izvietošana ārpakalapojuma sniedzēja nodrošinātos tehniskajos resursos.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proti, lūdzam skaidrot noteikumu projekta anotācijā, kas tiek vērtēts, lai saņemtu kompetentās valsts drošības iestādes atļauju, ja A drošības klases informācijas resursu elektroniskā apstrāde notiek citas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Slēdzot ārpakalpojuma līgumu, tehniskajā specifikācijā (ja attiecināms) un ārpakalpojuma līgumā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vai tā ir atbilstoša Publisko iepirkumu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var izdot ārējos normatīvos aktus tikai tad, ja likums tam īpaši piešķir šādas tiesības, un atbilstoši noteikumu projekta deleģējumam, nav atrodas likumdevēja pilnvarojums regulēt publisko iepirkumu jomu, tai skaitā, tehniskās specifikācijas un līgumā (kas jau ir cita starpā privāttiesiskas attiecības) nosakāmās prasības, līguma izbeigšanas tiesības un tiesības prasīt zaudējumus. Vienlaikus nepieciešams stingri izvērtēt vai šāda norma attiecībā uz līguma tiesiskajām attiecībām, kas tiek īstenotas pēc iepirkuma procesa, pārmērīgi neiejaucas privāttiesiskajās attiecībās.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projektu, ievērojot deleģējuma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101.3.3. subjekta tiesības iesniegt ārpakalpojuma sniedzējam pamatotu rakstisku pieprasījumu nekavējoties izbeigt ārpakalpojuma līgumu, ja subjekts konstatējis, ka ārpakalpojuma sniedzējs nepilda ārpakalpojuma līgumā noteiktās prasības attiecībā uz ārpakalpojuma apjomu vai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ir atbilstoša Publisko iepirkumu likumam. Vienlaikus lūdzam izvērtēt, kādas sekas noteikumu projekta 101. punkts un tā apakšpunkti var radīt publisko iepirkumu procesam. Norādām, ka Ministru kabinets var izdot ārējos normatīvos aktus tikai tad, ja likums tam īpaši piešķir šādas tiesības, un atbilstoši noteikumu projekta deleģējumam, nav atrodams likumdevēja pilnvarojums regulēt publisko iepirkumu jomu, tai skaitā, tehniskās specifikācijas un līgumā (kas jau ir cita starpā privāttiesiskas attiecības) nosakāmās prasības, līguma izbeigšanas tiesības un tiesības prasīt zaudējumus.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101.3.3. apakšpunkts jau ļoti konkrēti regulē pēc iepirkuma procesa slēgta līguma (kur rodas jau privāttiesiskas attiecības) tiesības izbeigt šo līgumu. Tieslietu ministrijas ieskatā, nepieciešamība atbilst šādai noteikumu projekta prasībai piešķir tiesības iejaukties publisko iepirkumu jomā un privāttiesiskās attiecībās, kuros cita starpā arī ir nodibināta tiesiskā paļāvība, proti, ja pasūtītājs ir izpildījis atbilstības noteikumus, izpildījis tehniskās specifikācijas prasības un tas ir paziņots kā uzvarētājs - tas noslēdz līgumu. Līgums, pēc veiksmīga publisko iepirkumu procesa jau tiek noslēgts privāttiesisko attiecību tvērumā, attiecīgi šāda noteikumu projekta norma ietekmē arī civiltiesisko attiecību stabilitāti, līdz ar to 101.3.3. apakšpunktā paredzētās līguma izbeigšanas tiesības iejaucas privāttiesisko attiecību tvērumā būtībā, kas ietekmē subjektu tiesisko paļāvību. Ņemot vērā minēto, lūdzam svītrot noteikumu projekta 101.3.3.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nepieciešamību noteikumu projekta anotācijā izvērtēt, vai norma, kas cita starpā regulē un paredz konkrētas publiskā iepirkuma procesa tehniskās specifikācijas un līguma prasības, nepārkāpj deleģējums robežas un ir atbilstoša Publisko iepirkumu likumam. Vienlaikus lūdzam izvērtēt kādas sekas noteikumu projekta 101. punkts un tā apakšpunkti var sagādāt publisko iepirkumu procesam. Norādām, ka Ministru kabinets var izdot ārējos normatīvos aktus tikai tad, ja likums tam īpaši piešķir šādas tiesības, un atbilstoši noteikumu projekta deleģējumam, nav atrodas likumdevēja pilnvarojums regulēt publisko iepirkumu jomu, tai skaitā, līguma pārtraukšanas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101.3.7. apakšpunkts jau ļoti konkrēti regulē pēc iepirkuma procesa slēgta līguma tiesības pārtraukt līgumu. Tieslietu ministrijas ieskatā, nepieciešamība atbilst šādai noteikumu projekta prasībai piešķir tiesības iejaukties publisko iepirkumu jomā un privāttiesiskās attiecībās (noslēgta līguma gadījumā), kuros, cita starpā, jau ir nodibināta tiesiskā paļāvība, proti, ja pasūtītājs ir izpildījis atbilstības noteikumus, izpildījis tehniskās specifikācijas prasības un, atbilstoši arī noteikumu projekta regulējumā noteiktajam tas nepieciešamības gadījumā ir saņēmis drošības iestādes atzinumu, un tas ir paziņots kā uzvarētājs - tas noslēdz līgumu. Līgums, kas pēc veiksmīga publisko iepirkumu procesa ir noslēgts, tiek noslēgts privāttiesisko attiecību tvērumā, attiecīgi šāda noteikumu projekta norma ietekmē civiltiesisko attiecību stabilitāti (cita starpā ņemot vērā to, ka ja attiecīgam subjektam ir jāsaņem drošības iestādes atzinums, tas to saņem pirms līguma noslēgšanas), tādējādi 101.3.7. apakšpunktā paredzētās līguma izbeigšanas tiesības iejaucas publisko iepirkumu sfērā un privāttiesisko attiecību tvērumā, un ietekmē subjektu tiesisko paļāvību un stabilitāti attiecībā uz pastāvošo tiesisko regulējumu. Vienlaikus nav saprotams, kā minētās normas tvērumā tiktu nodrošināta tiesiskā paļāvība uz iepriekš izdotu valsts drošības iestādes atzinumu, ka konkrētais subjekts ir drošs (ja attiecināms). Ņemot vērā minēto, lūdzam būtiski precizēt vai svītrot noteikumu projekta 101.3.7.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101.6. ārpakalpojuma sniedzēja pienākumu kompensēt subjektam visus zaudējumus, kas radošies līguma pārkāpumu dēļ vai gadījumos, kad līgums tiek izbeigts, ja ārpakalpojuma sniedzējs nav ievērojis šo noteikumu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izdošanas tiesiskajā pamatā nav atrodams pilnvarojums Ministru kabinetam regulēt publisko iepirkumu procesā slēgta līguma (kas, cita starpā, ir privāttiesiskas attiecības) pārkāpuma gadījumā - tiesības piedzīt vai kompensēt pasūtītājam zaudējumus. Norādām, ka būtībā šāda norma iejaucas publisko iepirkumu un civiltiesisko attiecību jomā. Skaidrojam, ka Ministru kabinets var izdot ārējos normatīvos aktus tikai tad, ja likums tam īpaši piešķir šādas tiesības, un atbilstoši noteikumu projekta deleģējumam, nav atrodas likumdevēja pilnvarojums regulēt publisko iepirkumu jomu un privāttiesisko attiecību ceļā slēgtu līgumu, to izbeigšanas kārtību, tai skaitā, tiesības prasīt zaudējumus. Vienlaikus norādām, ka šāda norma var radīt tiesiskās paļāvības principa pārkāpumu, ņemot vērā to, zaudējumu kompensēšanas kārtība, privāttiesisko attiecību tvērumā, ir noregulēta attiecīgās jomas normatīvajos aktos,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101.6.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Ārpakalpojuma sniedzējs pirms līguma izpildes uzsākšanas par informācijas sistēmas izstrādi, esošās informācijas sistēmas izmaiņām, informācijas sistēmas uzturēšanu vai IKT resursu apkopi iesniedz subjektam ārpakalpojuma izpildē iesaistīto fizisko personu sarakstu ar pamatojumu attiecīgās fiziskās personas iesaistei ārpakalpojuma līguma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anotācijā noteikumu projekta 105. punktā noteiktās prasības. Ne no noteikumu projekta, ne tā anotācijas neizriet mērķis iesniegt subjektam ārpakalpojuma izpildē iesaistīto fizisko personu sarakstu ar pamatojumu attiecīgās fiziskās personas iesaistei ārpakalpojuma līguma izpildē. Norādām, ka šādai prasībai ir jābūt samērīgai un attiecīgi pamatotai, ņemot vērā to ka tā aizskar fiziskas personas privātuma un datu apstrādes jautājumus, tāpat paredzot šādu prasību ir jāizvērtē, vai nepastāv mazāk ierobežojoši līdzekļi.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Ārpakalpojuma līgumu izbeidz, ja subjekts konstatē, ka ārpakalpojuma sniedzējs neievēro šo noteikumu prasības vai vairs neatbilst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precizētā noteikumu projekta 109. punktu, proti, lūdzam noteikumu projekta anotācijā skaidrot, vai noteikumu projekta 109. punkts nepārkāpj deleģējuma robežas, un kā noteikumu projekta 109. punkts atbilst Publisko iepirkumu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var izdot ārējos normatīvos aktus tikai tad, ja likums tam īpaši piešķir šādas tiesības, un atbilstoši noteikumu projekta deleģējumam, nav atrodas likumdevēja pilnvarojums regulēt publisko iepirkumu jomu, tai skaitā, līguma izbeigšanas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deleģējumā nav atrodams likumdevēja pilnvarojums regulēt publisko iepirkumu procesā slēgta līguma izbeigšanu (kas, cita starpā, ir privāttiesiskas attiecības, jo, lai gan publisko iepirkumu attiecībām ir divējāda tiesiskā daba, proti, process ir publiski tiesisks un izpilde ir privāttiesiska, līguma tiesību slēgšanas tiesību piešķiršanai ir publiski tiesiska daba, tās laikā tiek piemērotas tai skaitā no valsts drošības iestādes atzinuma iegūtās tiesības un tiesiskā paļāvība uz jau pastāvošu regulējumu), attiecīgi minētā norma ir svītrojama. Tāpat norādāms, ka nerodas skaidrība, kā minētā norma būtu arī salāgojama ar noteikumu projekta normām, kas primāri regulē prasības nodrošināt kiberdrošību un nosaka nepieciešamību konkrētiem subjektiem (uz kuriem attiecināms) saņemt valsts drošības iestādes atzinumu, attiecīgi paredzot arī tiesisko paļāvību attiecībā uz jau pastāvošo regulējumu un arī attiecībā noteikumu projektā noteiktajām prasībām un valsts drošības iestādes (uz kuriem attiecas) atzinumu, ka attiecīgais subjekts ir drošs.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109.punktu.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pamatojumu noteikumu projekta 111. punktam, skaidri norādot, ka noteikumu projekta 111. punkts neparedz diskriminējošas prasības attiecībā uz programmatūras un iekārtas ražotāju, piegādātāju pilsonības valsti. No noteikumu projekta pašreizējās redakcijas, izmantojot gramatisko interpretācijas metodi, ir nolasāms, ka minētā prasība attiecas uz ārpakalpojuma sniedzēju, taču, ņemot vērā Tieslietu ministrijas iepriekšējā atzinumā paustās bažas, ir nepieciešams laikus novērst nepamatotu, paplašinātu tiesību normu interpretāciju, ka ar šo normu varētu tikt radīts nepamatotas diskriminējošas prasības attiecībā uz ārpakalpojuma sniedzēja nodrošināto, piegādāto, uzstādīto programmatūru vai iekārtu (pēc programmatūras vai iekārtas izcelsmes valsts, pilsonības), atstājot spēkā 99. punktā paredzētās prasības. Ņemot vērā minēto, lūdzam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114.2.3. piederību vai atbalsta sniegšanu aizliegtām organizācijām vai citiem aizliegtiem nodibinājumiem,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lietoto terminoloģiju, ņemot vērā, ka Latvijas normatīvajos aktos tiek lietots termins "biedrības un nodibinājumi" atbilstoši Biedrību un nodibinājumu likumam. Savukārt, ja regulējums ir vērsts uz ārvalstu nevalstiskajām organizācijām, tad ierosinām lietot terminu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114.2.4. informāciju, kas liecina, ka fiziskā persona varētu būt pakļauta tādai ārvalstu, organizāciju, nevalstisku nodibinājumu vai citu personu ietekmei, kas var radīt apdraudējumu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lietojot to atbilstoši Biedrību un nodibinājumu likumā lietotajiem terminiem (biedrības un nodibinājumi) vai arī precizējot terminu "nevalstisks nodibinājums", jo nav saprotams, ar ko tas atšķiras no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šo noteikumu 111. punktā noteiktajām prasībām, lai norma būtu skaidra un saprotama. Norādām, ka minētās prasības ir noteiktas 111. punktā, savukārt 112. punkts nosaka gadījumus, kuros 111. punkta prasības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"118.1. ja ārpakalpojuma sniedzējs tehniskā resursa iegādei atbilst šo noteikumu 111.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112.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šo noteikumu 111. punktā noteiktajām prasībām, lai norma būtu skaidra un saprotama. Norādām, ka minētās prasības ir noteiktas 111. punktā, savukārt 112. punkts nosaka gadījumus, kuros 111. punkta prasības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ja ārpakalpojuma sniedzējs pakalpojuma sniegšanai atbilst šo noteikumu 111. punktā noteiktajām prasībām un ārpakalpojuma līguma izpildē iesaistītā fiziskā persona ir NATO, Eiropas Savienības vai Eiropas Ekonomikas zonas dalībvalsts pilsonis."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Šo noteikumu </w:t>
            </w:r>
            <w:r w:rsidR="00000000" w:rsidRPr="00000000" w:rsidDel="00000000">
              <w:rPr>
                <w:rtl w:val="0"/>
              </w:rPr>
              <w:t xml:space="preserve">118.</w:t>
            </w:r>
            <w:r w:rsidR="00000000" w:rsidRPr="00000000" w:rsidDel="00000000">
              <w:rPr>
                <w:rtl w:val="0"/>
              </w:rPr>
              <w:t xml:space="preserve"> punktu nepiemēro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normu, kas nosaka prasības, analogi noteikumu projekta 112.punktam.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Šo noteikumu </w:t>
            </w:r>
            <w:r w:rsidR="00000000" w:rsidRPr="00000000" w:rsidDel="00000000">
              <w:rPr>
                <w:rtl w:val="0"/>
              </w:rPr>
              <w:t xml:space="preserve">126.</w:t>
            </w:r>
            <w:r w:rsidR="00000000" w:rsidRPr="00000000" w:rsidDel="00000000">
              <w:rPr>
                <w:rtl w:val="0"/>
              </w:rPr>
              <w:t xml:space="preserve"> punktā minēto pārbaudi Satversmes aizsardzības birojs veic atbilstoši šo noteikumu </w:t>
            </w:r>
            <w:r w:rsidR="00000000" w:rsidRPr="00000000" w:rsidDel="00000000">
              <w:rPr>
                <w:rtl w:val="0"/>
              </w:rPr>
              <w:t xml:space="preserve">114.</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126. punktā un 127. punktā paredzētajām tiesībām Satversmes aizsardzības birojam pārbaudīt nodarbinātos. Norādām, ka normai, kas paredz tiesības pārbaudīt nodarbinātos ir pamattiesību ierobežojoša un tai ir jābūt attiecīgi pamatotai, proti, ietverot atbilstošu tiesisko pamatojumu projekta anotācijā, vienlaikus izvērtējot normas samērīgumu. Tāpat lūdzam izvērtēt un pamatot vai minētās prasības nepārkāpj deleģējuma robežas. Vienlaikus, ņemot vērā to, ka Satversmes aizsardzības biroja atzinumam ir ieteikuma raksturs, nav skaidrs 127. punkta mērķis.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izstrādā darbības nepārtrauktības plānu valsts apdraudējuma gadījumam atbilstoši šo noteikumu </w:t>
            </w:r>
            <w:r w:rsidR="00000000" w:rsidRPr="00000000" w:rsidDel="00000000">
              <w:rPr>
                <w:rtl w:val="0"/>
              </w:rPr>
              <w:t xml:space="preserve">8.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130. punkta ievaddaļu vai izdalīt atsevišķi 130.1. un 130.2. apakšpunktā ietverto regulējumu. Norādām, ka šobrīd minētajos apakšpunktos ietvertais regulējums neatbilst ievaddaļā minētajam, kā rezultātā no noteikumu projekta nepārprotami neizriet minētajos apakšpunktos ietverto pienākumu adresāts (-i).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šo noteikumu </w:t>
            </w:r>
            <w:r w:rsidR="00000000" w:rsidRPr="00000000" w:rsidDel="00000000">
              <w:rPr>
                <w:rtl w:val="0"/>
              </w:rPr>
              <w:t xml:space="preserve">130.2.</w:t>
            </w:r>
            <w:r w:rsidR="00000000" w:rsidRPr="00000000" w:rsidDel="00000000">
              <w:rPr>
                <w:rtl w:val="0"/>
              </w:rPr>
              <w:t xml:space="preserve"> apakšpunktā minēto atbildīgo personu nosaka fizisku personu, kura atbilst šo noteikumu </w:t>
            </w:r>
            <w:r w:rsidR="00000000" w:rsidRPr="00000000" w:rsidDel="00000000">
              <w:rPr>
                <w:rtl w:val="0"/>
              </w:rPr>
              <w:t xml:space="preserve">12.</w:t>
            </w:r>
            <w:r w:rsidR="00000000" w:rsidRPr="00000000" w:rsidDel="00000000">
              <w:rPr>
                <w:rtl w:val="0"/>
              </w:rPr>
              <w:t xml:space="preserve"> punkta prasībām. Satversmes aizsardzības birojs pārbauda atbildīgās personas kandidāta atbilstību šo noteikumu </w:t>
            </w:r>
            <w:r w:rsidR="00000000" w:rsidRPr="00000000" w:rsidDel="00000000">
              <w:rPr>
                <w:rtl w:val="0"/>
              </w:rPr>
              <w:t xml:space="preserve">12.</w:t>
            </w:r>
            <w:r w:rsidR="00000000" w:rsidRPr="00000000" w:rsidDel="00000000">
              <w:rPr>
                <w:rtl w:val="0"/>
              </w:rPr>
              <w:t xml:space="preserve"> punkta prasībām, par atzinumu  informējot IKT kritiskās infrastruktūras īpašnieka vai tiesiskā valdītāja vadītāju. Satversmes aizsardzības birojs var neveikt atbildīgās personas kandidāta pārbaudi, ja šai personai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nav paredzēts deleģējums Ministru kabinetam noteikt izvirzāmās prasības atbildīgajai personai par darbības nepārtrauktības plānošanu valsts apdraudējuma gadījumam. Norādām, ka Ministru kabinets var izdot ārējos normatīvos aktus tikai tad, ja likums tam īpaši piešķir šādas tiesības. Ņemot vērā minēto un to, ka šāds ierobežojums skar personas pamattiesības, kuras ir nostiprinātas Satversmes 106.pantā, lūdzam svītrot no noteikumu projekta attiecīgās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šo noteikumu </w:t>
            </w:r>
            <w:r w:rsidR="00000000" w:rsidRPr="00000000" w:rsidDel="00000000">
              <w:rPr>
                <w:rtl w:val="0"/>
              </w:rPr>
              <w:t xml:space="preserve">130.2.</w:t>
            </w:r>
            <w:r w:rsidR="00000000" w:rsidRPr="00000000" w:rsidDel="00000000">
              <w:rPr>
                <w:rtl w:val="0"/>
              </w:rPr>
              <w:t xml:space="preserve"> apakšpunktā minēto atbildīgo personu nosaka fizisku personu, kura atbilst šo noteikumu </w:t>
            </w:r>
            <w:r w:rsidR="00000000" w:rsidRPr="00000000" w:rsidDel="00000000">
              <w:rPr>
                <w:rtl w:val="0"/>
              </w:rPr>
              <w:t xml:space="preserve">12.</w:t>
            </w:r>
            <w:r w:rsidR="00000000" w:rsidRPr="00000000" w:rsidDel="00000000">
              <w:rPr>
                <w:rtl w:val="0"/>
              </w:rPr>
              <w:t xml:space="preserve"> punkta prasībām. Satversmes aizsardzības birojs pārbauda atbildīgās personas kandidāta atbilstību šo noteikumu </w:t>
            </w:r>
            <w:r w:rsidR="00000000" w:rsidRPr="00000000" w:rsidDel="00000000">
              <w:rPr>
                <w:rtl w:val="0"/>
              </w:rPr>
              <w:t xml:space="preserve">12.</w:t>
            </w:r>
            <w:r w:rsidR="00000000" w:rsidRPr="00000000" w:rsidDel="00000000">
              <w:rPr>
                <w:rtl w:val="0"/>
              </w:rPr>
              <w:t xml:space="preserve"> punkta prasībām, par atzinumu  informējot IKT kritiskās infrastruktūras īpašnieka vai tiesiskā valdītāja vadītāju. Satversmes aizsardzības birojs var neveikt atbildīgās personas kandidāta pārbaudi, ja šai personai ir izsniegta speciālā atļauja pieejai valsts noslēpumam.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normatīvie akti, kas paredz prasības speciālās atļaujas piešķiršanai pieejai valsts noslēpumam pirmšķietami, paredz arī mazāk stingrus nosacījumus, salīdzinot ar noteikumu projekta 12. punktā minētajiem, piemēram, likuma "Par valsts noslēpumu" 9. panta trešās daļas 7. punkts paredz, ka pieeja konfidenciāliem, slepeniem un sevišķi slepeniem valsts noslēpuma objektiem tiek liegta personai: kurai konstatēti psihiski un uzvedības traucējumi, tai skaitā traucējumi alkohola, narkotisko, psihotropo vai toksisko vielu lietošanas dēļ, </w:t>
            </w:r>
            <w:r w:rsidR="00000000" w:rsidRPr="00000000" w:rsidDel="00000000">
              <w:rPr>
                <w:u w:val="single"/>
                <w:rtl w:val="0"/>
              </w:rPr>
              <w:t xml:space="preserve">kas dod pamatu apšaubīt tās spēju ievērot valsts noslēpuma aizsardzības nosacījumus</w:t>
            </w:r>
            <w:r w:rsidR="00000000" w:rsidRPr="00000000" w:rsidDel="00000000">
              <w:rPr>
                <w:rtl w:val="0"/>
              </w:rPr>
              <w:t xml:space="preserve">, savukārt noteikumu projekta 12.9. apakšpunkts paredz, ka cita starpā IKT kritiskās infrastruktūras īpašnieks vai tiesiskais valdītājs par kiberdrošības pārvaldnieku nosaka fizisku personu: kurai pēdējo piecu gadu laikā nav diagnosticēti psihiski traucējumi vai alkohola, narkotisko, psihotropo vai toksisko vielu atkarība. 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izvērsti skaidrot pamatojumu noteikumu projekta anotācijā, kādēļ noteikumu projektā paredzēti stingrāki nosacījumi, salīdzinot ar minētajā likumā noteiktajiem;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precizēt noteikumu projektu, jo tas, ka personai ir izsniegta speciālā atļauja pieejai valsts noslēpumam, neapstiprina noteikumu projektā ietverto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kritiskās infrastruktūras kopumā iekļauj IKT kritisko infrastruktūru, kuras īpašniekam vai tiesiskajam valdītājam civilās aizsardzības plānos, valsts apdraudējuma pārvarēšanas plānos vai katastrofu medicīnas plānos jau ir noteikta darbības nepārtrauktība vai kurai ir ārējā audita sertificēta un starptautiskajiem standartiem atbilstoša darbības nepārtrauktības nodrošināšanas sistēma, vai ja minētos kritērijus uz IKT kritisko infrastruktūru sāk attiecināt pēc šo noteikumu spēkā stāšanās dienas, jauns darbības nepārtrauktības plāns valsts apdraudējuma gadījumam netiek izstrādāts, bet IKT kritiskās infrastruktūras īpašnieks vai tiesiskais valdītājs norīko par darbības nepārtrauktības plānošanu valsts apdraudējuma gadījumam atbildīgo personu, un minētā persona sadarbībā ar nozares ministriju un Aizsardzības ministriju, ja nepieciešams, papildina jau esošos darbības nepārtrauktības plānus.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projektā izdarītās atsauces uz starptautiskajiem standartiem. 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 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w:t>
            </w:r>
            <w:r w:rsidR="00000000" w:rsidRPr="00000000" w:rsidDel="00000000">
              <w:rPr>
                <w:i w:val="1"/>
                <w:vertAlign w:val="superscript"/>
                <w:rtl w:val="0"/>
              </w:rPr>
              <w:t xml:space="preserve"> https://m.juristavards.lv/wwwraksti/JV/BIBLIOTEKA/PRAKSES_MATERIALI/ATSAUCES%20UZ%20STANDARTIEM%20TIESIBU%20AKTOS__2022.PDF</w:t>
            </w:r>
            <w:r w:rsidR="00000000" w:rsidRPr="00000000" w:rsidDel="00000000">
              <w:rPr>
                <w:vertAlign w:val="superscript"/>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 nodrošina savu saziņas kanālu (oficiālā elektroniskā adrese, 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apakšsadaļas 1. tabulu ar informāciju par direktīvas Nr. 2022/2555 11. panta 1. punkta "a" apakšpunkta papildināšanu vai noteikumu projektā paredzēt, ka informācija ir publicējama (norādot arī kādā veidā ir publicējama) un darāma pieejama noteiktām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136.6. nodrošina, ka tai ir pietiekams atbilstoši apmācītu darbinieku skaits, lai nodrošinātu savu uzdevumu izpildi un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anotācijā skaidrot, kā paredzēts nodrošināt no direktīvas izrietošo prasību, ka dalībvalstīm jānodrošina, ka to kiberincidentu novēršanas institūcijām tiek piešķirti pietiekami resursi, lai nodarbinātu pietiekamu skaitu darbinieku, kas minētajām institūcijām ļautu attīstīt to tehniskās spējas. Nepieciešamības gadījumā lūdzam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Digitālās drošības uzraudzības komiteja izslēdz auditoru no auditoru saraksta,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146. punktu vai pamatot tajā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Atkārtoti vēršam uzmanību uz to, ka pilnvarojumā paredzētā auditoru reģistrācijas kārtība dod tiesības Ministru kabinetam noteikt sākotnējo lēmumu pieņemšanas kārtību, proti, lēmumu reģistrēt auditoru vai atteikt reģistrēt auditoru.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 Norādām, ka pretēji noteikumu projekta izziņas 206. punktā ietvertajai informācijai, anotācija nav papildināta ar pamatojumu noteikumu projekta 146. punkta atbilstībai likumdevēja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149.4. auditors atbilst Nacionālās kiberdrošībaslikuma 44. panta otrās daļas prasībām, un nepastāv citi apstākļi, kuru dēļ nav nodrošināma audita objektivitāte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likuma 44. panta otrā daļa tostarp paredz, ka kiberdrošības auditoram izvirzāmās prasības nosaka Ministru kabinets, tādēļ lūdzam noteikumu projekta 149.4. apakšpunktā atsaukties, ne vien uz minētā likuma vienību, bet noteikumu projekta normām, kas paredz prasības kiberdrošības auditoram, nodrošinot juridiskās tehnikas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149.5. apakšpunktu, salāgojot to ar 149.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 IKT kritiskās infrastruktūras īpašnieka vai tiesiskā valdītāja informācijas sistēmai, cita persona, par kuru ir saņemts Satversmes aizsardzības biroja atzinums šo noteikumu 105.punkta kārtībā, un kura atbilst šo noteikumu 151.2.1 un 151.2.2. apakšpunktos noteiktajām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projektā ietvertās atsauces, jo noteikumu projekta 105. un 110. punktā nav atrodamas norādes uz Satversmes aizsardzības biroja atzinu, tādēļ noteikumu projekta 151.3. un 152.2.2. apakšpunkts būtu precizējams. Līdzīgi lūdzam precizēt noteikumu projekta 157. punkta ievaddaļu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Kiberincidentu novēršanas institūcija par agrās brīdināšanas sensora uzstādīšanu vai demontāžu IKT kritiskās intrastruktūras īpašnieka vai tiesiskā valdītāja IKT infrastruktūrā informē Satversmes aizsardzības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166. punktā paredzēt termiņu attiecīgai informēšanai, tādējādi nodrošinot konkrētās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subjekts, kurš ir tiešās pārvaldes iestāde, neveic visus nepieciešamos, piemērotos un samērīgos pasākumus konstatētās neatbilstības novēršanai, Nacionālais kiberdrošības centrs vai Satversmes aizsardzības birojs, atbilstoši Nacionālās kiberdrošības likuma 41. pantā noteiktajam uzraudzības dalījumam, par šo neatbilstību ziņo attiecīgajam Ministru kabineta loceklim. Šādā gadījumā Ministru kabineta loceklis izvērtē nepieciešamību ierosināt disciplinārlietu un lemj par turpmāko rīcību neatbilstības novēršanai. Atbildīgais Ministru kabineta loceklis par neatbilstības novēršanas gaitu ziņo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un norādīt, pret ko tiek ierosināta disciplinārlieta.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Noteikumi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179. un 180. punktu un nepieciešamības gadījumā citas konkrētās noteikumu projekta nodaļas vienības vai sniegt pamatotu skaidrojumu par minēto punktu atbilstību direktīvas Nr. 2022/2555 41.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dzēst šo prasību "(c) no informācijas resursa pieejamības ir atkarīga citas informācijas sistēmas darbība, kurai noteikta A pieejamības klase;", A klases sistēmas arhitektūra ir jāveido tā, lai tā nebūtu atkarīga no citu sistēmu darbības vai pieejamības, nosakot pārejas laiku izmaiņu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pielikuma 1. punkts noteic, ka atbilstoši nozares specifikai ir pieļaujamas atkāpes no atsevišķiem prasību punktiem, par to atsevišķi vienojoties ar attiecīgo nozares ministriju un Aizsardzības ministriju. Saistībā ar minēto lūdzam noteikumu projekta anotācijā sniegt skaidrojumu noteikumu projekta 8. pielikumā noteiktajām prasībām, un kā tiek paredzēts izpildīt 8. pielikuma 1. punktu. Norādām, ka minētās atkāpes un arī plāns nevar paredzēt stingrākas prasības kādas likumdevējs ir paredzējis noteikt un kādas ir noteiktas likuma līmenī, un atbilstoši deleģējumam - Ministru kabineta noteikumu līmenī. Attiecīgi ar 8. pielikuma 1. punktu nevar paredzēt atkāpes, kuras ir stingrākas par noteikumu projektā noteikto un likuma līmenī regulēto.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plāna līmenī nevar paredzēt pamattiesību ierobežojošas prasības atkāpjoties un atsevišķiem noteikumu projekta punktiem</w:t>
            </w:r>
            <w:r w:rsidR="00000000" w:rsidRPr="00000000" w:rsidDel="00000000">
              <w:rPr>
                <w:rtl w:val="0"/>
              </w:rPr>
              <w:t xml:space="preserve">. Attiecīgi lūdzam nodrošināt, ka ar 8. pielikumu netiek radītas pamattiesību ierobežojas prasības, kas nav noteiktas likuma un Ministru kabineta noteikumu līmenī. Skaidrojam, ka viens no kritērijiem, kas pieļauj iespēju ierobežot pamattiesības, ir ierobežojuma noteikšana likumā, vienlaikus iekļaujot pietiekamu pamattiesību izvērtējumu, tādējādi ar minēto pielikumu nav pieļaujams, ka tiek noteiktas atkāpes no atsevišķiem punktiem gadījumā, ja ar tiem tiek paredzēts skart būtiskus jautājumus, pamattiesības un to ierobežošanu.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2014. gada 2. decembra noteikumu Nr. 737 "Attīstības plānošanas dokumentu izstrādes un ietekmes izvērtēšanas noteikumi" IV sadaļa nosaka plānā ietveramos jautājumus, attiecīgi lūdzam izvērtēt 8. pielikuma ietverto punktu atbilstību plānā ietveramo jautājumu robežām.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līdz šim normatīvajos aktos izmantoto terminoloģiju attiecībā uz reģistrētajiem datiem par noteiktiem notikumiem informācijas sistēmā, terminu “žurnālfaili” aizstājot ar terminu “auditācijas pieraksti”.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automatizēti veidoti pieraksti par notikumiem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 vai sniegt atšifrējumu saīsinājumiem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sarežģītās teikuma konstrukcijas dēļ, nav skaidrs, vai jomas vidējā un augstākā izglītība prasa 2 gadu pieredzi jomā, bet sertifikācija nē, un kāpēc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piemērus vai iekļaut arī ISO 27k sērijas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saistītās nozares. IT nozare būs saistītā?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kura atbilst šo noteikumu </w:t>
            </w:r>
            <w:r w:rsidR="00000000" w:rsidRPr="00000000" w:rsidDel="00000000">
              <w:rPr>
                <w:rtl w:val="0"/>
              </w:rPr>
              <w:t xml:space="preserve">12.1.</w:t>
            </w:r>
            <w:r w:rsidR="00000000" w:rsidRPr="00000000" w:rsidDel="00000000">
              <w:rPr>
                <w:rtl w:val="0"/>
              </w:rPr>
              <w:t xml:space="preserve">–</w:t>
            </w:r>
            <w:r w:rsidR="00000000" w:rsidRPr="00000000" w:rsidDel="00000000">
              <w:rPr>
                <w:rtl w:val="0"/>
              </w:rPr>
              <w:t xml:space="preserve">12.5.</w:t>
            </w:r>
            <w:r w:rsidR="00000000" w:rsidRPr="00000000" w:rsidDel="00000000">
              <w:rPr>
                <w:rtl w:val="0"/>
              </w:rPr>
              <w:t xml:space="preserve"> apakšpunkta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mainīt uz "12.2-12.5 apakšpunkta prasībām", jo 14.punktā ir minēts, ka kiberdrošības pārvaldnieks var nebūt Latvijas pilsonis, kā to nosaka 12.1.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piemērus vai iekļaut arī ISO 27k sērijas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ir saistītās nozares. IT nozare būs saistītā?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šāda prasība neapgrūtinās realizēt drošības pārvaldību valsts pārvaldē mazās organizācijās? Lūgums izvērtēt un labot punktu un papildināt ar aizliegumu būt kiberdrošības pārvaldniekam citā IKT kritiskās infrastruktūras subjektā, bet atļaut citos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juridiskās tehnikas prasībam atbilstošu atsauci uz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interešu konflikta novēršanu valsts amatpersonu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par nepieciešamību informēt/neinformēt Nacionālo kiberdrošības centru un Satversmes aizsardzības biroju par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jo 21.1. punktā minētais politikas dokuments parasti ir pieejams plašāk (atbilstoši ISO/IEC 27001 standarta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 kategorijas IKT kritiskās infrastruktūras īpašnieks vai tiesiskais valdītājs kiberdrošības pārvaldības dokumentu kopuma daļām nosaka vismaz informācijas dienesta vajadzībām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punktu, jo 21.1. punktā minētais politikas dokuments parasti ir pieejams plašāk (atbilstoši ISO/IEC 27001 standarta prasībām) un tās saturs parasti ir deklaratīvs. Vai šis punkts nosaka, ka 21.4. punktā minētais kiberincidentu žurnāls (parasti sistēma)  jāreģistrē un jāakreditē Satversmes aizsardzības birojā?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21.4.apakšpunktu minēt kā izņēmumu, kiberincidentu žurnāls bieži ir pieteikumu sistēmas daļa vai SIEM risinājums, kurā dati dinamiski mainās katru sekundi. To nevar iesniegt Satversmes aizsardzības birojam kā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29.4. un 29.5. apakšpunktu pārcelt uz 3.4. nodaļu,  jo politikai būtu jābūt deklaratīvai, publiskai, bet ierobežotas pieejamības informācija būtu jāliek citos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vārdu "visus" svītrot vai aizvietot ar "būtiskos".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izveido, uztur, pārskata un izmaiņu gadījumā nekavējoties, bet ne vēlāk kā viena mēneša laikā aktualizē IKT resursu un informācijas sistēmu katalogu.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mainīt punkta formulējumu uz zemāk minēto, IKT tehniskais resurss šo noteikumu izpratnē ir ļoti plašs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Subjekts izveido, uztur un regulāri pārskata IKT resursu un informācijas sistēmu katalogu.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Kiberrisku pārvaldības un IKT darbības nepārtrauktības plānā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nodalīt prasības atsevišķos p-tos attiecībā uz Kiberrisku pārvaldību un IKT darbības nepārtrauktības plānu, jo jomas ir saistītas, bet atsevišķi pārvaldāmas.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un valdījumā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rīcības plānu darbības nepārtrauktības nodrošināšanai, kas ietver tīklu, informācijas sistēmu vai to veidojošo elementu darbības nepārtrauktības raksturlielumus (piemēram, atjaunošanas punkta mērķis (RPO), atjaunošanas laika mērķis (RTO), maksimāli pieļaujamais dīkstāves laiks (MTD)), šo raksturlielumu uzraudzības metodiku un rīcības plānu šo raksturlielumu pārsniegšanas gadījumā, tostarp rīcības plānu darbības atjaunošanai nozīmīga kiberincidenta vai krīzes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Subjekta kiberdrošības pārvaldnieks nodrošina kiberrisku pārvaldības un IKT darbības nepārtrauktības plāna izpildes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43. punkts nav papildināms ar norādi uz uzraudzību, līdztekus norādei uz kontroli, ievērojot noteikumu projekta 1.10.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svītrot " IKT kritiskās infrastruktūras īpašnieks vai tiesiskais valdītājs par atbildīgo personu par kiberrisku pārvaldības un IKT darbības nepārtrauktības plāna izstrādi, pārskatīšanu un aktualizēšanu nedrīkst noteikt konkrētā subjekta kiberdrošības pārvaldnieku." Šis teikums ir pretrunā, piemēram ar punktiem 21.3., 43., 89.2. un citiem.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Subjekts uztur kiberinicidentu žurnālu, kurā reģistrē ziņas par subjekta īpašumā un valdījumā esošajos tīklos un informācijas sistēmās konstatētajiem kiberincidentiem. Subjekts nodrošina ziņu reģistrēšanu žurnālā ne vēlāk kā 24 stundu laikā no kiberincidenta konstatēšanas brīža vai pēc jebkādām izmaiņām iepriekš žurnālā norādītajās ziņās.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ja vien tas tehniski ir iespējams,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šo kā obligātu prasību (izsakot šajā redakcijā) vai noteikt pārējas posmu prasības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informācijas sistēmas tehniskajos resursos ir iestrādāti kontroles mehānismi, lai novērstu iespēju lietotājiem lietot sistēmkontus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 standarta lietotāja kontu neizmanto tīklu, informācijas sistēmu vai tehnisko resursu administrēšanai.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 A klases informācijas sistēmas administratora lietotāja kontam un standarta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lietotāji ir uzskatāmi par standarta un kādi ir uzskatāmi par administratora lietotājiem vai šo izteikt piedāvātā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klases informācijas sistēmas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B klases informācijas sistēmas administratora lietotāja kontam;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kādi  lietotāji ir uzskatāmi par standarta un kādi ir uzskatāmi par administratora lietotājiem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klases informācijas sistēmas lietotāja kontam kuram ir piešķirtas tiesības administrēt lietotāju kontus, sistēmas parametrus un programmatūras servisus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skaidrojumu terminam "ārējs"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"bloķēt vai uzdot administratoram" ar "pieprasīt"". Pārāk daudz priviliģēto tiesību kiberdrošības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"pieprasīt"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Tīklu pārvaldība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projektā izmantot vienu vārdam "tīkls". Atbilstoši likumā lietotai terminoloģijai piedāvāju izmantot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tīkla iekārtas un cita aparatūra, kas nav paredzēta tiešai lietotāju izmantošanai, ir loģiski atdalīta, izmantojot atsevišķus virtuālos vai fiziskus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svītrot "IKT" un atstāt pilnvarotam personālam. Ne vienmēr tas būs IKT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definīciju ārējam un iekšējām tīklam, lai ir viennozīmīgi skaidrs kāds ir perimetrs iekšējam tīklam šī normatīvā akta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ietverts tiesiskais regulējums, kas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definīciju terminam "ticams IKT notikums" vai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IKT kritiskās infrastruktūras īpašnieks vai tiesiskais valdītājs par šo noteikumu 70.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IS27001 standartā noteiktiem principiem, viens no drošības pārvaldnieka pienākumiem ir žurnālfailu pārvaldīšana, lai būtu iespējams atklāt un izmeklēt drošības incidentus.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C klases informācijas sistēmai pirms pēdējām nozīmīgām izmaiņām informācijas sistēmā (piemēram, pirms migrācijas uz citu tehnoloģisku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 vai skaidrot noteikumu projekta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klases informācijas sistēmai iepriekšējā darba dienā un pirms pēdējām nozīmīgām izmaiņām informācijas sistēmā (piemēram, pirms migrācijas uz citu tehnoloģisku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dzēst šo punktu, jo tas dublē noteikumu projekta 75.2.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kontrolsuuma ir vajadzīga tie gadījumā ja nepieciešams pārbaudīt pēc rezerves kopijas pārvietošanas citā datu nesējā.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 ja paredzēts kopiju pārvietot citā datu nesējā.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aizvietot "kiberdrošības pārvaldnieks" ar "pilnvarotās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precizēt punktu, jo pirmais teikums rada iespaidu, ka "viena sistēma pēc izvēles", bet otrais teikums, ka "katrai sistēmai jāveic pārbaudes ar noteikto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mainīt nepieciešamību atbilst 12.6. punktam. Vai atbilstošāka nebūtu IKT 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pieejams viņiem paredzēto kārtējo instruktāžu kalendārais plāns, kas noteikts subjekta iekšējos dokumentos, kā arī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dzēst "(prezentācijas datne, izdales materiāli)", ne vienmēr materiāli būs prezentācijas un izdales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projektu ar šādu punktu vai skaidrot, kādēļ tas nav nepieciešams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"Ārpakalpojuma sniedzējam ir pienākums nekavējoties iesniegt subjektam drošības audita ziņojumu, ja subjekts to ir pieprasījis ārpakalpojuma sniedzējam pie kura ir izvietota subjekta informācijas sistēma vai informācijas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subjekta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papildināt noteikumu projekta 101.3.2. apakšpunktu ar norādi uz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Būtisko pakalpojumu sniedzējs, slēdzot vispārīgo vienošanos, ietver atsauci uz šo noteikumu </w:t>
            </w:r>
            <w:r w:rsidR="00000000" w:rsidRPr="00000000" w:rsidDel="00000000">
              <w:rPr>
                <w:rtl w:val="0"/>
              </w:rPr>
              <w:t xml:space="preserve">118.</w:t>
            </w:r>
            <w:r w:rsidR="00000000" w:rsidRPr="00000000" w:rsidDel="00000000">
              <w:rPr>
                <w:rtl w:val="0"/>
              </w:rPr>
              <w:t xml:space="preserve"> punktā minētajiem ierobežojumiem, kas piemērojami vienošanās ietvaros slēdzot ārpakalpojuma līgumus.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šī prasība attiecas arī uz Būtisko pakalpojumu sniedzēju, ja tam ir tikai B un C klases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nodrošina piekļuvei telpām atbilstošu apmeklētāju kontroli, un nodrošina, ka ēkai, kurā tā atrodas, tiek apsargāta;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"136.2. nodrošina piekļuvei savām telpām atbilstošu apmeklētāju kontroli, un nodrošina, ka ēkai, kurā tās atrodas, tiek apsargāta;"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Kiberincidentu novēršanas institūcijas vadītājs izvērtē tās atbilstību šo noteikumu </w:t>
            </w:r>
            <w:r w:rsidR="00000000" w:rsidRPr="00000000" w:rsidDel="00000000">
              <w:rPr>
                <w:rtl w:val="0"/>
              </w:rPr>
              <w:t xml:space="preserve">136.</w:t>
            </w:r>
            <w:r w:rsidR="00000000" w:rsidRPr="00000000" w:rsidDel="00000000">
              <w:rPr>
                <w:rtl w:val="0"/>
              </w:rPr>
              <w:t xml:space="preserve"> punktā minētajām prasībām vismaz reizi piecos gados un par to informē Nacionālo kiberdrošības centru līdz attiecīgā kalendārā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precīzāk noteikt informēšanas termiņu, respektīvi, kas ir domāts ar attiecīgā kalendārā gada 31. decembri - pēdējā gada (no pieciem) 31. decembris, t.i., gada, kad tiek veikts izvērtējums, vai nākamā kalendārā gada pēc izvērtējuma veikšanas 31. decembris.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149.2. auditors apstrādā audita ietvaros iegūto informāciju vienīgi NATO, Eiropas Savienības un Eiropas Ekonomikas zonas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līdzīgi kā noteikumu projekta 100.2. apakšpunktā nav paredzams izņēmums, ja ir saņemts Satversmes aizsardzības biroja atzinums, ka ir pieļaujama informācijas apstrāde arī citas valsts teritorijā,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šādā redakcijā un attiecīgi labot terminu "drošības skenēšana" uz "ievainojamību pārbaude", jo manā ieskatā šeit tiek identificētas programmatūras ievainojamības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Vulis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151.2.1. ir saņēmusi starptautiski atzītu sertifikātu, kas apliecina personas kvalifikāciju ielaušanās testu jomā (piemēram, CEH, OSCP), vai kurai ir vismaz divu gadu darba pieredze ielaušanās testu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prasību attiecināt uz 151.1 un 151.3 apakšpunktos norādītajiem gadījumiem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Atzīt par spēku zaudējušiem Ministru kabineta 2023. gada 28. februāra noteikumus Nr. 94 "Publisko elektronisko sakaru tīklu drošības prasības" (Latvijas Vēstnesis, 2023, 46.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par spēku zaudējušiem nav jāatzīst arī Ministru kabineta 2021. gada 6. jūlija noteikumi Nr. 508 "Kritiskās infrastruktūras, tajā skaitā Eiropas kritiskās infrastruktūras, apzināšanas, drošības pasākumu un darbības nepārtrauktības plānošanas un īstenošanas kārtība", kuri arī izdoti  saskaņā ar Nacionālās drošības likuma 22.</w:t>
            </w:r>
            <w:r w:rsidR="00000000" w:rsidRPr="00000000" w:rsidDel="00000000">
              <w:rPr>
                <w:vertAlign w:val="superscript"/>
                <w:rtl w:val="0"/>
              </w:rPr>
              <w:t xml:space="preserve">2</w:t>
            </w:r>
            <w:r w:rsidR="00000000" w:rsidRPr="00000000" w:rsidDel="00000000">
              <w:rPr>
                <w:rtl w:val="0"/>
              </w:rPr>
              <w:t xml:space="preserve"> panta sesto daļu. Alternatīvi lūdzam noteikumu projekta anotācijas 4. sadaļā skaidrot, vai minētajos Ministru kabineta noteikumos nav nepieciešami grozījumi, ņemot vērā, ka arī noteikumu projektā ietverts regulējums, kas paredz IKT kritiskās infrastruktūras drošības prasības, pasākumus un to plānošanas un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aktualizēt veidlapu. Svarīgo pakalpojumu sniedzēji, kuri atbilst Nacionālās kiberdrošības likuma šī panta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Svarīgo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Svarīgo pakalpojumu sniedzējs šā likuma izpratnē ir persona, kas nav būtisko pakalpojumu sniedzējs un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vidējs saimnieciskās darbības veicējs, kurš veic saimniecisko darbību vismaz vienā no šā likuma 20. panta 8. punktā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aizpildīt veidlapu, jo šīs jomas ir uzskaitītas tikai būtisko pakalpojumu sniedzēju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Zariņa (TNA)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13. punktā minēto lūdzam izziņā minēto informāciju ietvert noteikumu projekta anotācijā, jo šobrīd minētā informācija anotācijā nav atrodama.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