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un starta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Aizdevumus nepiešķir grūtībās nonākušam saimnieciskās darbības veicējam, kuram ar tiesas spriedumu ir pasludināts maksātnespējas process vai ar tiesas spriedumu tiek īstenots tiesiskās aizsardzības process, vai ar tiesas lēmumu tiek īstenots ārpustiesas tiesiskās aizsardzības process, uzsākta bankrota procedūra, piemērota sanācija vai mierizlīgums vai kura saimnieciskā darbība ir izbeigta, vai kurš atbilst normatīvajos aktos maksātnespējas jomā noteiktajiem kritērijiem, lai tam pēc kreditoru pieprasījuma ierosinātu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13.punktā lietoto terminoloģiju atbilstoši Maksātnespējas likumā lietotajai: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dzēšot atsauci uz sanāciju un mierizlīgumu, jo šādi maksātnespējas risinājumi nav paredzēti spēkā esošajā Maksātnespējas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dzēšot vai precizējot formulējumu "uzsākta bankrota procedūra". Proti, spēkā esošais Maksātnespējas likums juridiskās personas maksātnespējas procesā neparedz bankrota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nepiešķir grūtībās nonākušam saimnieciskās darbības veicējam, kuram ar tiesas spriedumu ir pasludināts maksātnespējas process, ir ierosināts vai tiek īstenots tiesiskās aizsardzības process vai ja saimnieciskās darbības veicējs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Atbalsta pretendents iesniedz parakstītu apliecinājumu, ka uz uzņēmumu nav attiecināma šo noteikumu 13.punktā minētā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iesniedz parakstītu apliecinājumu, ka uz saimnieciskās darbības veicēju nav attiecināma šo noteikumu 13.punktā minētā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03.07.2023.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03.07.2023.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Atzinumi_23-TA-332.docx</dc:title>
</cp:coreProperties>
</file>

<file path=docProps/custom.xml><?xml version="1.0" encoding="utf-8"?>
<Properties xmlns="http://schemas.openxmlformats.org/officeDocument/2006/custom-properties" xmlns:vt="http://schemas.openxmlformats.org/officeDocument/2006/docPropsVTypes"/>
</file>