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identificētajām problēmām, riskiem un iespējām, plānojot izmaiņas valsts un pašvaldību institūciju amatpersonu un darbinieku mainīgās atlīdzības daļas ierobežojumiem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līdz ar ievērojamu finansējuma palielinājumu valsts drošībai un citām prioritātēm pieaug budžeta deficīts un valsts parāds. Sagaidāms, ka arī krīze Tuvajos Austrumos var radīt papildu negatīvu fiskālo ietekmi jau tuvākajā laikā. Tādēļ ir nepieciešams būtiski ierobežot valsts budžeta izmaksas dažādās jomās, tostarp atlīdzības fondam. Īpaši vēršam uzmanību uz to, ka publiskajā sektorā strādājošo skaits pēdējos gados ir pieaudzis, kamēr Latvijas iedzīvotāju skaits ir samazinājies. Publiskajā sektorā strādājošo skaitam būtu jāsamazinās atbilstoši iedzīvotāju skaita izmaiņām valstī. Lai veicinātu publiskajā sektorā strādājošo motivāciju, LDDK ieskatā kā galvenajam virzienam jābūt publiskajā sektorā aizņemto darbvietu skaita optimizācijai (tai skaitā digitalizējot procesus, centralizējot funkcijas), attiecīgo algu fondu pārdalot pārējiem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LDDK iebilst pret informatīvajā ziņojumā piedāvātajiem priekšlikumiem, kas paredz saglabāt 2027. gadā piemērojamo naudas balvas apmēru līdz 50 % no mēnešalgas apmēra gada laikā, kā arī atstāt iestāžu rīcībā 70 % no ilgstošo vakanču (vairāk kā 6 mēneši) algu fonda. LDDK aicina valsts pārvaldi solidarizēties ar pārējo Latvijas sabiedrību un koncentrēties uz darbvietu skaita optimizāciju.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informatīvajā ziņojumā ietvertie dati atspoguļo pietiekami lielu nevienmērību, praktizējot piemaksas par nozīmīgu ieguldījumu stratēģisko mērķu sasniegšanā. Ir redzams, ka noteiktās ministrijās šādas piemaksas saņem gandrīz visi iestādes darbinieki (kā, piemēram, FM, ĀM, KEM, VARAM), savukārt citās iestādes – tikai daži vai pat vispār neviens. Tas liecina arī par to, ka nav vienotu noteikumu par šādas piemaksas piemērošanu, un katra institūcija esošo kārtību interpretē pēc saviem ieskatiem. LDDK rosina noteikt vadlīnijas par šādu piemaksu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09.04.2026.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09.04.2026.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Atzinumi_26-TA-776.docx</dc:title>
</cp:coreProperties>
</file>

<file path=docProps/custom.xml><?xml version="1.0" encoding="utf-8"?>
<Properties xmlns="http://schemas.openxmlformats.org/officeDocument/2006/custom-properties" xmlns:vt="http://schemas.openxmlformats.org/officeDocument/2006/docPropsVTypes"/>
</file>