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Nacionālās industriālās politikas pamatnostādņu 2021. – 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21.11.2024.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21.11.2024.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