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ierobežojuma noteikšanu Latvijas Republikas - Baltkrievijas Republikas un Latvijas Republikas - Krievijas Federācijas robežas šķērsošanai ar autobusiem, veicot starptautiskos neregulāros pasažieru pārvadājumus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Vēršam uzmanību</w:t>
            </w:r>
            <w:r w:rsidR="00000000" w:rsidRPr="00000000" w:rsidDel="00000000">
              <w:rPr>
                <w:rtl w:val="0"/>
              </w:rPr>
              <w:t xml:space="preserve">, ka Anotācijā nav sniegts izvērtējums, vai, liedzot Latvijas teritorijā šķērsot valsts robežu starptautisko neregulāro pasažieru pārvadājumiem ar autobusiem, netiek pārkāptas ar starptautiskajiem līgumiem uzņemtās saistības, tādēļ aicinām iekļaut Anotācijā šādu izvērtējumu, ņemot vērā to, ka divpusējos nolīgumos par automobiļu starptautisko satiksmi ir iekļauta norma, kas paredz neregulāru pasažieru pārvadājumu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Ieviņš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27.08.2025. 08.06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27.08.2025. 08.06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Atzinumi_24-TA-2758.docx</dc:title>
</cp:coreProperties>
</file>

<file path=docProps/custom.xml><?xml version="1.0" encoding="utf-8"?>
<Properties xmlns="http://schemas.openxmlformats.org/officeDocument/2006/custom-properties" xmlns:vt="http://schemas.openxmlformats.org/officeDocument/2006/docPropsVTypes"/>
</file>