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likumprojekta 4. pants, paredz likuma 21. panta otrajā daļā noteikt, ka administratīvā pārkāpuma procesu par šā likuma 20.</w:t>
            </w:r>
            <w:r w:rsidR="00000000" w:rsidRPr="00000000" w:rsidDel="00000000">
              <w:rPr>
                <w:vertAlign w:val="superscript"/>
                <w:rtl w:val="0"/>
              </w:rPr>
              <w:t xml:space="preserve">2</w:t>
            </w:r>
            <w:r w:rsidR="00000000" w:rsidRPr="00000000" w:rsidDel="00000000">
              <w:rPr>
                <w:rtl w:val="0"/>
              </w:rPr>
              <w:t xml:space="preserve"> pantā minēto pārkāpumu veic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normas atbilstību anotācijai, aicinām precizēt anotācijas 1.3. apakšpunktā ietverto skaidrojumu šīs normas 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anotācijas 1.3. apakšpunktā divās vietās ir ietverta atsauce uz Fizisko personu datu aizsardzības likuma 23.pantu. Vēršam uzmanību, ka minētais likums ir zaudējis spēku,  līdz ar to atsauce ir nekorekta.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19.02.2026.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19.02.2026.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Atzinumi_25-TA-2567.docx</dc:title>
</cp:coreProperties>
</file>

<file path=docProps/custom.xml><?xml version="1.0" encoding="utf-8"?>
<Properties xmlns="http://schemas.openxmlformats.org/officeDocument/2006/custom-properties" xmlns:vt="http://schemas.openxmlformats.org/officeDocument/2006/docPropsVTypes"/>
</file>