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 (turpmāk – VADDA) atkārtoti izsaka un uztur iebildumu pret likumprojekta 3. pantu (10.3.).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uzsver, ka biedrība neiebilst pret NVD tiesībām reāgēt uz līgumsaistību neizpildi. Jau šobrīd spēkā esošajos līgumos ir iestrādāti mehānismi par maksājumu ieturēšanu par nekvalitatīvi veiktu darbu.  Līgumsoda piemērošanas kritērijiem un apmēriem ir jābūt skaidriem, paredzamiem un tādiem, kas izriet no ārēja normatīva akta, nevis vienas puses (NVD) vienpersoniska lēmuma, jo minētie jautājumi būtu regulējami normatīvā aktā –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VADDA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atrunātas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atrunājami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VADDA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pamata izdotos Ministru kabineta noteikumos. VADDA ieskatā, šos jautājumus varētu noregulēt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VADDA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arī nav saprotama NVD norāde, ka šie jautājumi nebūtu regulējami normatīvajos aktos tā iemesla dēļ, ka “realitāte ir pārāk daudzveidīga un mainīga”. VADDA ieskatā, NVD noteiktie līgumsodi nav tādi līguma noteikumi, kurus būtu nepieciešams tik regulāri grozīt “mainīgas realitātes” dēļ, ka nebūtu iespējama šo noteikumu ietveršana normatīvā aktā. Turklāt VADDA ir ierosinājusi noteikt, ka šie jautājumi tiek regulēti Ministru kabineta noteikumos, kuru grozīšanas process ir vienkāršāks salīdzinājumā ar likuma grozīšanas procesu, ja rodas nepieciešamība pārskatīt līgumsodu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lūdz precizēt likumprojekta 3. pantā iekļautā likuma 10.3 panta redakciju,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izdod noteikumus, kuros nosaka gadījumus, kādos maksājams līgumsods un līgumsoda apmērs.”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08.04.2026.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08.04.2026.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